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37E5F" w14:textId="67ECDDCC" w:rsidR="00D324FB" w:rsidRPr="00B12A21" w:rsidRDefault="00D324FB" w:rsidP="00D324FB">
      <w:pPr>
        <w:jc w:val="center"/>
        <w:rPr>
          <w:rFonts w:ascii="Tahoma" w:hAnsi="Tahoma" w:cs="Tahoma"/>
          <w:b/>
          <w:szCs w:val="24"/>
        </w:rPr>
      </w:pPr>
      <w:r w:rsidRPr="00B12A21">
        <w:rPr>
          <w:rFonts w:ascii="Tahoma" w:hAnsi="Tahoma" w:cs="Tahoma"/>
          <w:b/>
          <w:szCs w:val="24"/>
        </w:rPr>
        <w:t>Пояснительная записка к тип</w:t>
      </w:r>
      <w:r w:rsidR="00587869" w:rsidRPr="00B12A21">
        <w:rPr>
          <w:rFonts w:ascii="Tahoma" w:hAnsi="Tahoma" w:cs="Tahoma"/>
          <w:b/>
          <w:szCs w:val="24"/>
        </w:rPr>
        <w:t>овым требованиям по формированию ведомости объемов работ (далее</w:t>
      </w:r>
      <w:r w:rsidR="00B54CD3" w:rsidRPr="00B12A21">
        <w:rPr>
          <w:rFonts w:ascii="Tahoma" w:hAnsi="Tahoma" w:cs="Tahoma"/>
          <w:b/>
          <w:szCs w:val="24"/>
        </w:rPr>
        <w:t xml:space="preserve"> -</w:t>
      </w:r>
      <w:r w:rsidRPr="00B12A21">
        <w:rPr>
          <w:rFonts w:ascii="Tahoma" w:hAnsi="Tahoma" w:cs="Tahoma"/>
          <w:b/>
          <w:szCs w:val="24"/>
        </w:rPr>
        <w:t xml:space="preserve"> ВОР</w:t>
      </w:r>
      <w:r w:rsidR="00587869" w:rsidRPr="00B12A21">
        <w:rPr>
          <w:rFonts w:ascii="Tahoma" w:hAnsi="Tahoma" w:cs="Tahoma"/>
          <w:b/>
          <w:szCs w:val="24"/>
        </w:rPr>
        <w:t>)</w:t>
      </w:r>
      <w:r w:rsidRPr="00B12A21">
        <w:rPr>
          <w:rFonts w:ascii="Tahoma" w:hAnsi="Tahoma" w:cs="Tahoma"/>
          <w:b/>
          <w:szCs w:val="24"/>
        </w:rPr>
        <w:t xml:space="preserve"> и оценки величины капитальных вложений с применением системы ценообразования на базе</w:t>
      </w:r>
      <w:r w:rsidR="00587869" w:rsidRPr="00B12A21">
        <w:rPr>
          <w:rFonts w:ascii="Tahoma" w:hAnsi="Tahoma" w:cs="Tahoma"/>
          <w:b/>
          <w:szCs w:val="24"/>
        </w:rPr>
        <w:t xml:space="preserve"> Укрупненных единичных расценок (далее </w:t>
      </w:r>
      <w:r w:rsidR="00B54CD3" w:rsidRPr="00B12A21">
        <w:rPr>
          <w:rFonts w:ascii="Tahoma" w:hAnsi="Tahoma" w:cs="Tahoma"/>
          <w:b/>
          <w:szCs w:val="24"/>
        </w:rPr>
        <w:t>-</w:t>
      </w:r>
      <w:r w:rsidRPr="00B12A21">
        <w:rPr>
          <w:rFonts w:ascii="Tahoma" w:hAnsi="Tahoma" w:cs="Tahoma"/>
          <w:b/>
          <w:szCs w:val="24"/>
        </w:rPr>
        <w:t xml:space="preserve"> УЕР</w:t>
      </w:r>
      <w:r w:rsidR="00587869" w:rsidRPr="00B12A21">
        <w:rPr>
          <w:rFonts w:ascii="Tahoma" w:hAnsi="Tahoma" w:cs="Tahoma"/>
          <w:b/>
          <w:szCs w:val="24"/>
        </w:rPr>
        <w:t>)</w:t>
      </w:r>
      <w:r w:rsidR="00FF28B2" w:rsidRPr="00B12A21">
        <w:rPr>
          <w:rFonts w:ascii="Tahoma" w:hAnsi="Tahoma" w:cs="Tahoma"/>
          <w:b/>
          <w:szCs w:val="24"/>
        </w:rPr>
        <w:t xml:space="preserve"> (далее – Требования)</w:t>
      </w:r>
    </w:p>
    <w:p w14:paraId="07E2FEC3" w14:textId="6F3C77A0" w:rsidR="002E3639" w:rsidRPr="00B12A21" w:rsidRDefault="002E3639" w:rsidP="00B12A21">
      <w:pPr>
        <w:spacing w:after="0"/>
        <w:jc w:val="center"/>
        <w:rPr>
          <w:rFonts w:ascii="Tahoma" w:hAnsi="Tahoma" w:cs="Tahoma"/>
          <w:b/>
        </w:rPr>
      </w:pPr>
      <w:r w:rsidRPr="00B12A21">
        <w:rPr>
          <w:rFonts w:ascii="Tahoma" w:hAnsi="Tahoma" w:cs="Tahoma"/>
          <w:b/>
        </w:rPr>
        <w:t>Общие положения</w:t>
      </w:r>
    </w:p>
    <w:p w14:paraId="0123D889" w14:textId="433F0C0D" w:rsidR="00D324FB" w:rsidRPr="00C37C6C" w:rsidRDefault="00FE1584" w:rsidP="00ED0C44">
      <w:pPr>
        <w:ind w:firstLine="709"/>
        <w:jc w:val="both"/>
        <w:rPr>
          <w:rFonts w:ascii="Tahoma" w:hAnsi="Tahoma" w:cs="Tahoma"/>
        </w:rPr>
      </w:pPr>
      <w:r>
        <w:rPr>
          <w:rFonts w:ascii="Tahoma" w:hAnsi="Tahoma" w:cs="Tahoma"/>
        </w:rPr>
        <w:t>В Компании разработаны варианты</w:t>
      </w:r>
      <w:r w:rsidR="004F30C2" w:rsidRPr="00C37C6C">
        <w:rPr>
          <w:rFonts w:ascii="Tahoma" w:hAnsi="Tahoma" w:cs="Tahoma"/>
        </w:rPr>
        <w:t xml:space="preserve"> Требований для </w:t>
      </w:r>
      <w:r w:rsidR="00E9320A">
        <w:rPr>
          <w:rFonts w:ascii="Tahoma" w:hAnsi="Tahoma" w:cs="Tahoma"/>
        </w:rPr>
        <w:t>различных</w:t>
      </w:r>
      <w:r w:rsidR="00265891">
        <w:rPr>
          <w:rFonts w:ascii="Tahoma" w:hAnsi="Tahoma" w:cs="Tahoma"/>
        </w:rPr>
        <w:t xml:space="preserve"> стадий </w:t>
      </w:r>
      <w:r w:rsidR="00E9320A">
        <w:rPr>
          <w:rFonts w:ascii="Tahoma" w:hAnsi="Tahoma" w:cs="Tahoma"/>
        </w:rPr>
        <w:t>проектирования (ОТР, ПД, РД)</w:t>
      </w:r>
      <w:r w:rsidR="00265891">
        <w:rPr>
          <w:rFonts w:ascii="Tahoma" w:hAnsi="Tahoma" w:cs="Tahoma"/>
        </w:rPr>
        <w:t xml:space="preserve"> и </w:t>
      </w:r>
      <w:r w:rsidR="00E9320A">
        <w:rPr>
          <w:rFonts w:ascii="Tahoma" w:hAnsi="Tahoma" w:cs="Tahoma"/>
        </w:rPr>
        <w:t xml:space="preserve">различных контрактных </w:t>
      </w:r>
      <w:r w:rsidR="00D46A5B">
        <w:rPr>
          <w:rFonts w:ascii="Tahoma" w:hAnsi="Tahoma" w:cs="Tahoma"/>
        </w:rPr>
        <w:t>стратегий</w:t>
      </w:r>
      <w:r w:rsidR="00B764B8">
        <w:rPr>
          <w:rFonts w:ascii="Tahoma" w:hAnsi="Tahoma" w:cs="Tahoma"/>
        </w:rPr>
        <w:t>.</w:t>
      </w:r>
      <w:r w:rsidR="004F30C2" w:rsidRPr="00C37C6C">
        <w:rPr>
          <w:rFonts w:ascii="Tahoma" w:hAnsi="Tahoma" w:cs="Tahoma"/>
        </w:rPr>
        <w:t xml:space="preserve"> </w:t>
      </w:r>
      <w:r w:rsidR="00B764B8">
        <w:rPr>
          <w:rFonts w:ascii="Tahoma" w:hAnsi="Tahoma" w:cs="Tahoma"/>
        </w:rPr>
        <w:t>В том числе разработаны отдельные Требования</w:t>
      </w:r>
      <w:r w:rsidR="00B764B8" w:rsidRPr="00C37C6C">
        <w:rPr>
          <w:rFonts w:ascii="Tahoma" w:hAnsi="Tahoma" w:cs="Tahoma"/>
        </w:rPr>
        <w:t xml:space="preserve"> для условий привлечения </w:t>
      </w:r>
      <w:r w:rsidR="00B764B8">
        <w:rPr>
          <w:rFonts w:ascii="Tahoma" w:hAnsi="Tahoma" w:cs="Tahoma"/>
        </w:rPr>
        <w:t xml:space="preserve">проектировщика, </w:t>
      </w:r>
      <w:r w:rsidR="00B764B8" w:rsidRPr="00C37C6C">
        <w:rPr>
          <w:rFonts w:ascii="Tahoma" w:hAnsi="Tahoma" w:cs="Tahoma"/>
        </w:rPr>
        <w:t>ЕРС-подрядчика</w:t>
      </w:r>
      <w:r w:rsidR="00B764B8">
        <w:rPr>
          <w:rFonts w:ascii="Tahoma" w:hAnsi="Tahoma" w:cs="Tahoma"/>
        </w:rPr>
        <w:t xml:space="preserve"> и С-подрядчика (последний – для стадии РД).</w:t>
      </w:r>
    </w:p>
    <w:p w14:paraId="5736A0F6" w14:textId="7CE4361F" w:rsidR="004F30C2" w:rsidRPr="00C37C6C" w:rsidRDefault="004F30C2">
      <w:pPr>
        <w:ind w:firstLine="709"/>
        <w:jc w:val="both"/>
        <w:rPr>
          <w:rFonts w:ascii="Tahoma" w:hAnsi="Tahoma" w:cs="Tahoma"/>
        </w:rPr>
      </w:pPr>
      <w:r w:rsidRPr="00C37C6C">
        <w:rPr>
          <w:rFonts w:ascii="Tahoma" w:hAnsi="Tahoma" w:cs="Tahoma"/>
        </w:rPr>
        <w:t xml:space="preserve">Данные Требования имеют схожую структуру и описание, но </w:t>
      </w:r>
      <w:r w:rsidR="0056207D">
        <w:rPr>
          <w:rFonts w:ascii="Tahoma" w:hAnsi="Tahoma" w:cs="Tahoma"/>
        </w:rPr>
        <w:t>при этом устанавливают различные границы ответственности исполнителя в каждом из случаев</w:t>
      </w:r>
      <w:r w:rsidR="00E72903">
        <w:rPr>
          <w:rFonts w:ascii="Tahoma" w:hAnsi="Tahoma" w:cs="Tahoma"/>
        </w:rPr>
        <w:t>, что связано с</w:t>
      </w:r>
      <w:r w:rsidRPr="00C37C6C">
        <w:rPr>
          <w:rFonts w:ascii="Tahoma" w:hAnsi="Tahoma" w:cs="Tahoma"/>
        </w:rPr>
        <w:t xml:space="preserve"> ограничения</w:t>
      </w:r>
      <w:r w:rsidR="00E72903">
        <w:rPr>
          <w:rFonts w:ascii="Tahoma" w:hAnsi="Tahoma" w:cs="Tahoma"/>
        </w:rPr>
        <w:t>ми</w:t>
      </w:r>
      <w:r w:rsidRPr="00C37C6C">
        <w:rPr>
          <w:rFonts w:ascii="Tahoma" w:hAnsi="Tahoma" w:cs="Tahoma"/>
        </w:rPr>
        <w:t xml:space="preserve"> </w:t>
      </w:r>
      <w:r w:rsidR="00014C8B" w:rsidRPr="00C37C6C">
        <w:rPr>
          <w:rFonts w:ascii="Tahoma" w:hAnsi="Tahoma" w:cs="Tahoma"/>
        </w:rPr>
        <w:t xml:space="preserve">на доступ к </w:t>
      </w:r>
      <w:r w:rsidR="00E72903">
        <w:rPr>
          <w:rFonts w:ascii="Tahoma" w:hAnsi="Tahoma" w:cs="Tahoma"/>
        </w:rPr>
        <w:t xml:space="preserve">бенчмарку </w:t>
      </w:r>
      <w:r w:rsidR="00E72903" w:rsidRPr="00C37C6C">
        <w:rPr>
          <w:rFonts w:ascii="Tahoma" w:hAnsi="Tahoma" w:cs="Tahoma"/>
        </w:rPr>
        <w:t>рыночны</w:t>
      </w:r>
      <w:r w:rsidR="00E72903">
        <w:rPr>
          <w:rFonts w:ascii="Tahoma" w:hAnsi="Tahoma" w:cs="Tahoma"/>
        </w:rPr>
        <w:t>х</w:t>
      </w:r>
      <w:r w:rsidR="00E72903" w:rsidRPr="00C37C6C">
        <w:rPr>
          <w:rFonts w:ascii="Tahoma" w:hAnsi="Tahoma" w:cs="Tahoma"/>
        </w:rPr>
        <w:t xml:space="preserve"> </w:t>
      </w:r>
      <w:r w:rsidR="00014C8B" w:rsidRPr="00C37C6C">
        <w:rPr>
          <w:rFonts w:ascii="Tahoma" w:hAnsi="Tahoma" w:cs="Tahoma"/>
        </w:rPr>
        <w:t>цен</w:t>
      </w:r>
      <w:r w:rsidR="00D46A5B">
        <w:rPr>
          <w:rFonts w:ascii="Tahoma" w:hAnsi="Tahoma" w:cs="Tahoma"/>
        </w:rPr>
        <w:t xml:space="preserve"> (справочника цен)</w:t>
      </w:r>
      <w:r w:rsidR="00014C8B" w:rsidRPr="00C37C6C">
        <w:rPr>
          <w:rFonts w:ascii="Tahoma" w:hAnsi="Tahoma" w:cs="Tahoma"/>
        </w:rPr>
        <w:t xml:space="preserve"> </w:t>
      </w:r>
      <w:r w:rsidR="00E72903">
        <w:rPr>
          <w:rFonts w:ascii="Tahoma" w:hAnsi="Tahoma" w:cs="Tahoma"/>
        </w:rPr>
        <w:t xml:space="preserve">на </w:t>
      </w:r>
      <w:r w:rsidR="00014C8B" w:rsidRPr="00C37C6C">
        <w:rPr>
          <w:rFonts w:ascii="Tahoma" w:hAnsi="Tahoma" w:cs="Tahoma"/>
        </w:rPr>
        <w:t>строительно-монтажны</w:t>
      </w:r>
      <w:r w:rsidR="00E72903">
        <w:rPr>
          <w:rFonts w:ascii="Tahoma" w:hAnsi="Tahoma" w:cs="Tahoma"/>
        </w:rPr>
        <w:t>е</w:t>
      </w:r>
      <w:r w:rsidR="00014C8B" w:rsidRPr="00C37C6C">
        <w:rPr>
          <w:rFonts w:ascii="Tahoma" w:hAnsi="Tahoma" w:cs="Tahoma"/>
        </w:rPr>
        <w:t xml:space="preserve"> работ</w:t>
      </w:r>
      <w:r w:rsidR="00E72903">
        <w:rPr>
          <w:rFonts w:ascii="Tahoma" w:hAnsi="Tahoma" w:cs="Tahoma"/>
        </w:rPr>
        <w:t>ы для внешних контрагентов и с необходимым объемом информации на различных стадиях проектирования.</w:t>
      </w:r>
    </w:p>
    <w:p w14:paraId="54304E91" w14:textId="3DC60723" w:rsidR="00C37C6C" w:rsidRPr="002E3639" w:rsidRDefault="002E3639" w:rsidP="00B12A21">
      <w:pPr>
        <w:autoSpaceDE w:val="0"/>
        <w:autoSpaceDN w:val="0"/>
        <w:spacing w:before="120" w:after="0" w:line="240" w:lineRule="auto"/>
        <w:jc w:val="right"/>
        <w:rPr>
          <w:rFonts w:ascii="Tahoma" w:hAnsi="Tahoma" w:cs="Tahoma"/>
        </w:rPr>
      </w:pPr>
      <w:r w:rsidRPr="002E3639">
        <w:rPr>
          <w:rFonts w:ascii="Tahoma" w:hAnsi="Tahoma" w:cs="Tahoma"/>
        </w:rPr>
        <w:t xml:space="preserve">Таблица 1. </w:t>
      </w:r>
      <w:r w:rsidR="00C37C6C" w:rsidRPr="002E3639">
        <w:rPr>
          <w:rFonts w:ascii="Tahoma" w:hAnsi="Tahoma" w:cs="Tahoma"/>
        </w:rPr>
        <w:t xml:space="preserve">Матрица </w:t>
      </w:r>
      <w:r w:rsidR="00B764B8" w:rsidRPr="002E3639">
        <w:rPr>
          <w:rFonts w:ascii="Tahoma" w:hAnsi="Tahoma" w:cs="Tahoma"/>
        </w:rPr>
        <w:t xml:space="preserve">распределения </w:t>
      </w:r>
      <w:r w:rsidR="00C37C6C" w:rsidRPr="002E3639">
        <w:rPr>
          <w:rFonts w:ascii="Tahoma" w:hAnsi="Tahoma" w:cs="Tahoma"/>
        </w:rPr>
        <w:t>ответственности за формирование ВОР</w:t>
      </w:r>
      <w:r w:rsidR="00F34711" w:rsidRPr="002E3639">
        <w:rPr>
          <w:rFonts w:ascii="Tahoma" w:hAnsi="Tahoma" w:cs="Tahoma"/>
        </w:rPr>
        <w:t xml:space="preserve">, </w:t>
      </w:r>
      <w:r w:rsidR="00C37C6C" w:rsidRPr="002E3639">
        <w:rPr>
          <w:rFonts w:ascii="Tahoma" w:hAnsi="Tahoma" w:cs="Tahoma"/>
        </w:rPr>
        <w:t xml:space="preserve">оценку в </w:t>
      </w:r>
      <w:r w:rsidR="00B764B8" w:rsidRPr="002E3639">
        <w:rPr>
          <w:rFonts w:ascii="Tahoma" w:hAnsi="Tahoma" w:cs="Tahoma"/>
        </w:rPr>
        <w:t>УЕР</w:t>
      </w:r>
      <w:r w:rsidR="00C37C6C" w:rsidRPr="002E3639">
        <w:rPr>
          <w:rFonts w:ascii="Tahoma" w:hAnsi="Tahoma" w:cs="Tahoma"/>
        </w:rPr>
        <w:t xml:space="preserve"> между участниками проектирования на различных этапах</w:t>
      </w:r>
    </w:p>
    <w:tbl>
      <w:tblPr>
        <w:tblStyle w:val="a5"/>
        <w:tblW w:w="5000" w:type="pct"/>
        <w:tblInd w:w="-5" w:type="dxa"/>
        <w:tblLayout w:type="fixed"/>
        <w:tblLook w:val="04A0" w:firstRow="1" w:lastRow="0" w:firstColumn="1" w:lastColumn="0" w:noHBand="0" w:noVBand="1"/>
      </w:tblPr>
      <w:tblGrid>
        <w:gridCol w:w="5529"/>
        <w:gridCol w:w="847"/>
        <w:gridCol w:w="991"/>
        <w:gridCol w:w="987"/>
        <w:gridCol w:w="991"/>
      </w:tblGrid>
      <w:tr w:rsidR="00C37C6C" w:rsidRPr="002E3639" w14:paraId="37341E3F" w14:textId="77777777" w:rsidTr="00B12A21">
        <w:trPr>
          <w:trHeight w:val="288"/>
        </w:trPr>
        <w:tc>
          <w:tcPr>
            <w:tcW w:w="2958" w:type="pct"/>
            <w:shd w:val="clear" w:color="auto" w:fill="00338D"/>
            <w:noWrap/>
            <w:hideMark/>
          </w:tcPr>
          <w:p w14:paraId="1198542F" w14:textId="77777777" w:rsidR="00C37C6C" w:rsidRPr="00B12A21" w:rsidRDefault="00C37C6C" w:rsidP="00B12A21">
            <w:pPr>
              <w:spacing w:line="200" w:lineRule="atLeast"/>
              <w:contextualSpacing/>
              <w:jc w:val="center"/>
              <w:rPr>
                <w:rFonts w:ascii="Tahoma" w:eastAsia="Times New Roman" w:hAnsi="Tahoma" w:cs="Tahoma"/>
                <w:b/>
                <w:bCs/>
                <w:sz w:val="20"/>
                <w:szCs w:val="20"/>
                <w:lang w:val="ru-RU"/>
              </w:rPr>
            </w:pPr>
            <w:r w:rsidRPr="00B12A21">
              <w:rPr>
                <w:rFonts w:ascii="Tahoma" w:eastAsia="Times New Roman" w:hAnsi="Tahoma" w:cs="Tahoma"/>
                <w:b/>
                <w:bCs/>
                <w:sz w:val="20"/>
                <w:szCs w:val="20"/>
              </w:rPr>
              <w:t>Элемент расчета</w:t>
            </w:r>
          </w:p>
        </w:tc>
        <w:tc>
          <w:tcPr>
            <w:tcW w:w="453" w:type="pct"/>
            <w:shd w:val="clear" w:color="auto" w:fill="00338D"/>
            <w:noWrap/>
            <w:hideMark/>
          </w:tcPr>
          <w:p w14:paraId="1BE24B2B" w14:textId="77777777" w:rsidR="00C37C6C" w:rsidRPr="00B12A21" w:rsidRDefault="00C37C6C" w:rsidP="00B12A21">
            <w:pPr>
              <w:spacing w:line="200" w:lineRule="atLeast"/>
              <w:contextualSpacing/>
              <w:jc w:val="center"/>
              <w:rPr>
                <w:rFonts w:ascii="Tahoma" w:eastAsia="Times New Roman" w:hAnsi="Tahoma" w:cs="Tahoma"/>
                <w:b/>
                <w:bCs/>
                <w:sz w:val="20"/>
                <w:szCs w:val="20"/>
                <w:lang w:val="ru-RU"/>
              </w:rPr>
            </w:pPr>
            <w:r w:rsidRPr="00B12A21">
              <w:rPr>
                <w:rFonts w:ascii="Tahoma" w:eastAsia="Times New Roman" w:hAnsi="Tahoma" w:cs="Tahoma"/>
                <w:b/>
                <w:bCs/>
                <w:sz w:val="20"/>
                <w:szCs w:val="20"/>
              </w:rPr>
              <w:t>ТЭО (ТЭР)</w:t>
            </w:r>
          </w:p>
        </w:tc>
        <w:tc>
          <w:tcPr>
            <w:tcW w:w="530" w:type="pct"/>
            <w:shd w:val="clear" w:color="auto" w:fill="00338D"/>
            <w:noWrap/>
            <w:hideMark/>
          </w:tcPr>
          <w:p w14:paraId="536A7E05" w14:textId="77777777" w:rsidR="00C37C6C" w:rsidRPr="00B12A21" w:rsidRDefault="00C37C6C" w:rsidP="00B12A21">
            <w:pPr>
              <w:spacing w:line="200" w:lineRule="atLeast"/>
              <w:contextualSpacing/>
              <w:jc w:val="center"/>
              <w:rPr>
                <w:rFonts w:ascii="Tahoma" w:eastAsia="Times New Roman" w:hAnsi="Tahoma" w:cs="Tahoma"/>
                <w:b/>
                <w:bCs/>
                <w:sz w:val="20"/>
                <w:szCs w:val="20"/>
                <w:lang w:val="ru-RU"/>
              </w:rPr>
            </w:pPr>
            <w:r w:rsidRPr="00B12A21">
              <w:rPr>
                <w:rFonts w:ascii="Tahoma" w:eastAsia="Times New Roman" w:hAnsi="Tahoma" w:cs="Tahoma"/>
                <w:b/>
                <w:bCs/>
                <w:sz w:val="20"/>
                <w:szCs w:val="20"/>
              </w:rPr>
              <w:t>ОТР</w:t>
            </w:r>
          </w:p>
        </w:tc>
        <w:tc>
          <w:tcPr>
            <w:tcW w:w="528" w:type="pct"/>
            <w:shd w:val="clear" w:color="auto" w:fill="00338D"/>
            <w:noWrap/>
            <w:hideMark/>
          </w:tcPr>
          <w:p w14:paraId="37717802" w14:textId="77777777" w:rsidR="00C37C6C" w:rsidRPr="00B12A21" w:rsidRDefault="00C37C6C" w:rsidP="00B12A21">
            <w:pPr>
              <w:spacing w:line="200" w:lineRule="atLeast"/>
              <w:contextualSpacing/>
              <w:jc w:val="center"/>
              <w:rPr>
                <w:rFonts w:ascii="Tahoma" w:eastAsia="Times New Roman" w:hAnsi="Tahoma" w:cs="Tahoma"/>
                <w:b/>
                <w:bCs/>
                <w:sz w:val="20"/>
                <w:szCs w:val="20"/>
                <w:lang w:val="ru-RU"/>
              </w:rPr>
            </w:pPr>
            <w:r w:rsidRPr="00B12A21">
              <w:rPr>
                <w:rFonts w:ascii="Tahoma" w:eastAsia="Times New Roman" w:hAnsi="Tahoma" w:cs="Tahoma"/>
                <w:b/>
                <w:bCs/>
                <w:sz w:val="20"/>
                <w:szCs w:val="20"/>
              </w:rPr>
              <w:t>ПД</w:t>
            </w:r>
          </w:p>
        </w:tc>
        <w:tc>
          <w:tcPr>
            <w:tcW w:w="530" w:type="pct"/>
            <w:shd w:val="clear" w:color="auto" w:fill="00338D"/>
          </w:tcPr>
          <w:p w14:paraId="1715B7AD" w14:textId="77777777" w:rsidR="00C37C6C" w:rsidRPr="00B12A21" w:rsidRDefault="00C37C6C" w:rsidP="00B12A21">
            <w:pPr>
              <w:spacing w:line="200" w:lineRule="atLeast"/>
              <w:contextualSpacing/>
              <w:jc w:val="center"/>
              <w:rPr>
                <w:rFonts w:ascii="Tahoma" w:eastAsia="Times New Roman" w:hAnsi="Tahoma" w:cs="Tahoma"/>
                <w:b/>
                <w:bCs/>
                <w:sz w:val="20"/>
                <w:szCs w:val="20"/>
                <w:lang w:val="ru-RU"/>
              </w:rPr>
            </w:pPr>
            <w:r w:rsidRPr="00B12A21">
              <w:rPr>
                <w:rFonts w:ascii="Tahoma" w:eastAsia="Times New Roman" w:hAnsi="Tahoma" w:cs="Tahoma"/>
                <w:b/>
                <w:bCs/>
                <w:sz w:val="20"/>
                <w:szCs w:val="20"/>
              </w:rPr>
              <w:t>РД</w:t>
            </w:r>
          </w:p>
        </w:tc>
      </w:tr>
      <w:tr w:rsidR="00C37C6C" w:rsidRPr="002E3639" w14:paraId="6AABD343" w14:textId="77777777" w:rsidTr="00B12A21">
        <w:trPr>
          <w:trHeight w:val="288"/>
        </w:trPr>
        <w:tc>
          <w:tcPr>
            <w:tcW w:w="2958" w:type="pct"/>
            <w:noWrap/>
            <w:hideMark/>
          </w:tcPr>
          <w:p w14:paraId="65792BC7" w14:textId="77777777" w:rsidR="00C37C6C" w:rsidRPr="00B12A21" w:rsidRDefault="00C37C6C" w:rsidP="00B12A21">
            <w:pPr>
              <w:spacing w:line="200" w:lineRule="atLeast"/>
              <w:contextualSpacing/>
              <w:rPr>
                <w:rFonts w:ascii="Tahoma" w:eastAsia="Times New Roman" w:hAnsi="Tahoma" w:cs="Tahoma"/>
                <w:b/>
                <w:bCs/>
                <w:color w:val="000000"/>
                <w:sz w:val="20"/>
                <w:szCs w:val="20"/>
                <w:lang w:val="ru-RU"/>
              </w:rPr>
            </w:pPr>
            <w:r w:rsidRPr="00B12A21">
              <w:rPr>
                <w:rFonts w:ascii="Tahoma" w:eastAsia="Times New Roman" w:hAnsi="Tahoma" w:cs="Tahoma"/>
                <w:b/>
                <w:bCs/>
                <w:color w:val="000000"/>
                <w:sz w:val="20"/>
                <w:szCs w:val="20"/>
              </w:rPr>
              <w:t>Физобъемы и номенклатура</w:t>
            </w:r>
          </w:p>
        </w:tc>
        <w:tc>
          <w:tcPr>
            <w:tcW w:w="453" w:type="pct"/>
            <w:noWrap/>
            <w:hideMark/>
          </w:tcPr>
          <w:p w14:paraId="749169C6" w14:textId="77777777" w:rsidR="00C37C6C" w:rsidRPr="00B12A21" w:rsidRDefault="00C37C6C" w:rsidP="00B12A21">
            <w:pPr>
              <w:spacing w:line="200" w:lineRule="atLeast"/>
              <w:contextualSpacing/>
              <w:jc w:val="center"/>
              <w:rPr>
                <w:rFonts w:ascii="Tahoma" w:eastAsia="Times New Roman" w:hAnsi="Tahoma" w:cs="Tahoma"/>
                <w:b/>
                <w:bCs/>
                <w:color w:val="000000"/>
                <w:sz w:val="20"/>
                <w:szCs w:val="20"/>
                <w:lang w:val="ru-RU"/>
              </w:rPr>
            </w:pPr>
            <w:r w:rsidRPr="00B12A21">
              <w:rPr>
                <w:rFonts w:ascii="Tahoma" w:eastAsia="Times New Roman" w:hAnsi="Tahoma" w:cs="Tahoma"/>
                <w:b/>
                <w:bCs/>
                <w:color w:val="000000"/>
                <w:sz w:val="20"/>
                <w:szCs w:val="20"/>
              </w:rPr>
              <w:t> </w:t>
            </w:r>
          </w:p>
        </w:tc>
        <w:tc>
          <w:tcPr>
            <w:tcW w:w="530" w:type="pct"/>
            <w:noWrap/>
            <w:hideMark/>
          </w:tcPr>
          <w:p w14:paraId="0993D422" w14:textId="77777777" w:rsidR="00C37C6C" w:rsidRPr="00B12A21" w:rsidRDefault="00C37C6C" w:rsidP="00B12A21">
            <w:pPr>
              <w:spacing w:line="200" w:lineRule="atLeast"/>
              <w:contextualSpacing/>
              <w:jc w:val="center"/>
              <w:rPr>
                <w:rFonts w:ascii="Tahoma" w:eastAsia="Times New Roman" w:hAnsi="Tahoma" w:cs="Tahoma"/>
                <w:b/>
                <w:bCs/>
                <w:color w:val="000000"/>
                <w:sz w:val="20"/>
                <w:szCs w:val="20"/>
                <w:lang w:val="ru-RU"/>
              </w:rPr>
            </w:pPr>
            <w:r w:rsidRPr="00B12A21">
              <w:rPr>
                <w:rFonts w:ascii="Tahoma" w:eastAsia="Times New Roman" w:hAnsi="Tahoma" w:cs="Tahoma"/>
                <w:b/>
                <w:bCs/>
                <w:color w:val="000000"/>
                <w:sz w:val="20"/>
                <w:szCs w:val="20"/>
              </w:rPr>
              <w:t> </w:t>
            </w:r>
          </w:p>
        </w:tc>
        <w:tc>
          <w:tcPr>
            <w:tcW w:w="528" w:type="pct"/>
            <w:noWrap/>
            <w:hideMark/>
          </w:tcPr>
          <w:p w14:paraId="073DD1EE" w14:textId="77777777" w:rsidR="00C37C6C" w:rsidRPr="00B12A21" w:rsidRDefault="00C37C6C" w:rsidP="00B12A21">
            <w:pPr>
              <w:spacing w:line="200" w:lineRule="atLeast"/>
              <w:contextualSpacing/>
              <w:jc w:val="center"/>
              <w:rPr>
                <w:rFonts w:ascii="Tahoma" w:eastAsia="Times New Roman" w:hAnsi="Tahoma" w:cs="Tahoma"/>
                <w:b/>
                <w:bCs/>
                <w:color w:val="000000"/>
                <w:sz w:val="20"/>
                <w:szCs w:val="20"/>
                <w:lang w:val="ru-RU"/>
              </w:rPr>
            </w:pPr>
            <w:r w:rsidRPr="00B12A21">
              <w:rPr>
                <w:rFonts w:ascii="Tahoma" w:eastAsia="Times New Roman" w:hAnsi="Tahoma" w:cs="Tahoma"/>
                <w:b/>
                <w:bCs/>
                <w:color w:val="000000"/>
                <w:sz w:val="20"/>
                <w:szCs w:val="20"/>
              </w:rPr>
              <w:t> </w:t>
            </w:r>
          </w:p>
        </w:tc>
        <w:tc>
          <w:tcPr>
            <w:tcW w:w="530" w:type="pct"/>
          </w:tcPr>
          <w:p w14:paraId="69AB4610" w14:textId="77777777" w:rsidR="00C37C6C" w:rsidRPr="00B12A21" w:rsidRDefault="00C37C6C" w:rsidP="00B12A21">
            <w:pPr>
              <w:spacing w:line="200" w:lineRule="atLeast"/>
              <w:contextualSpacing/>
              <w:jc w:val="center"/>
              <w:rPr>
                <w:rFonts w:ascii="Tahoma" w:eastAsia="Times New Roman" w:hAnsi="Tahoma" w:cs="Tahoma"/>
                <w:b/>
                <w:bCs/>
                <w:color w:val="000000"/>
                <w:sz w:val="20"/>
                <w:szCs w:val="20"/>
                <w:lang w:val="ru-RU"/>
              </w:rPr>
            </w:pPr>
          </w:p>
        </w:tc>
      </w:tr>
      <w:tr w:rsidR="00C37C6C" w:rsidRPr="002E3639" w14:paraId="3A255B0A" w14:textId="77777777" w:rsidTr="00B12A21">
        <w:trPr>
          <w:trHeight w:val="288"/>
        </w:trPr>
        <w:tc>
          <w:tcPr>
            <w:tcW w:w="2958" w:type="pct"/>
            <w:noWrap/>
            <w:hideMark/>
          </w:tcPr>
          <w:p w14:paraId="5CD4B06B" w14:textId="77777777" w:rsidR="00C37C6C" w:rsidRPr="00B12A21" w:rsidRDefault="00C37C6C" w:rsidP="00B12A21">
            <w:pPr>
              <w:spacing w:line="200" w:lineRule="atLeast"/>
              <w:contextualSpacing/>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Работы</w:t>
            </w:r>
          </w:p>
        </w:tc>
        <w:tc>
          <w:tcPr>
            <w:tcW w:w="453" w:type="pct"/>
            <w:noWrap/>
            <w:hideMark/>
          </w:tcPr>
          <w:p w14:paraId="6680D51B"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Е</w:t>
            </w:r>
          </w:p>
        </w:tc>
        <w:tc>
          <w:tcPr>
            <w:tcW w:w="530" w:type="pct"/>
            <w:noWrap/>
            <w:hideMark/>
          </w:tcPr>
          <w:p w14:paraId="777C5DA6"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Е</w:t>
            </w:r>
          </w:p>
        </w:tc>
        <w:tc>
          <w:tcPr>
            <w:tcW w:w="528" w:type="pct"/>
            <w:noWrap/>
            <w:hideMark/>
          </w:tcPr>
          <w:p w14:paraId="79219845"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Е</w:t>
            </w:r>
          </w:p>
        </w:tc>
        <w:tc>
          <w:tcPr>
            <w:tcW w:w="530" w:type="pct"/>
          </w:tcPr>
          <w:p w14:paraId="18DB8FB9"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Е</w:t>
            </w:r>
          </w:p>
        </w:tc>
      </w:tr>
      <w:tr w:rsidR="00C37C6C" w:rsidRPr="002E3639" w14:paraId="121EE6A2" w14:textId="77777777" w:rsidTr="00B12A21">
        <w:trPr>
          <w:trHeight w:val="288"/>
        </w:trPr>
        <w:tc>
          <w:tcPr>
            <w:tcW w:w="2958" w:type="pct"/>
            <w:noWrap/>
            <w:hideMark/>
          </w:tcPr>
          <w:p w14:paraId="46225644" w14:textId="77777777" w:rsidR="00C37C6C" w:rsidRPr="00B12A21" w:rsidRDefault="00C37C6C" w:rsidP="00B12A21">
            <w:pPr>
              <w:spacing w:line="200" w:lineRule="atLeast"/>
              <w:contextualSpacing/>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Оборудование основное технологическое</w:t>
            </w:r>
          </w:p>
        </w:tc>
        <w:tc>
          <w:tcPr>
            <w:tcW w:w="453" w:type="pct"/>
            <w:noWrap/>
            <w:hideMark/>
          </w:tcPr>
          <w:p w14:paraId="2E543B0E"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Е</w:t>
            </w:r>
          </w:p>
        </w:tc>
        <w:tc>
          <w:tcPr>
            <w:tcW w:w="530" w:type="pct"/>
            <w:noWrap/>
            <w:hideMark/>
          </w:tcPr>
          <w:p w14:paraId="706A6572"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Е</w:t>
            </w:r>
          </w:p>
        </w:tc>
        <w:tc>
          <w:tcPr>
            <w:tcW w:w="528" w:type="pct"/>
            <w:noWrap/>
            <w:hideMark/>
          </w:tcPr>
          <w:p w14:paraId="3CC2ACB1"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Е</w:t>
            </w:r>
          </w:p>
        </w:tc>
        <w:tc>
          <w:tcPr>
            <w:tcW w:w="530" w:type="pct"/>
          </w:tcPr>
          <w:p w14:paraId="1367D9E5"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Е</w:t>
            </w:r>
          </w:p>
        </w:tc>
      </w:tr>
      <w:tr w:rsidR="00C37C6C" w:rsidRPr="002E3639" w14:paraId="088E14AB" w14:textId="77777777" w:rsidTr="00B12A21">
        <w:trPr>
          <w:trHeight w:val="288"/>
        </w:trPr>
        <w:tc>
          <w:tcPr>
            <w:tcW w:w="2958" w:type="pct"/>
            <w:noWrap/>
            <w:hideMark/>
          </w:tcPr>
          <w:p w14:paraId="4682906B" w14:textId="77777777" w:rsidR="00C37C6C" w:rsidRPr="00B12A21" w:rsidRDefault="00C37C6C" w:rsidP="00B12A21">
            <w:pPr>
              <w:spacing w:line="200" w:lineRule="atLeast"/>
              <w:contextualSpacing/>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Оборудование прочее</w:t>
            </w:r>
          </w:p>
        </w:tc>
        <w:tc>
          <w:tcPr>
            <w:tcW w:w="453" w:type="pct"/>
            <w:noWrap/>
            <w:hideMark/>
          </w:tcPr>
          <w:p w14:paraId="19EB4239"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w:t>
            </w:r>
          </w:p>
        </w:tc>
        <w:tc>
          <w:tcPr>
            <w:tcW w:w="530" w:type="pct"/>
            <w:noWrap/>
            <w:hideMark/>
          </w:tcPr>
          <w:p w14:paraId="71584704"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Е</w:t>
            </w:r>
          </w:p>
        </w:tc>
        <w:tc>
          <w:tcPr>
            <w:tcW w:w="528" w:type="pct"/>
            <w:noWrap/>
            <w:hideMark/>
          </w:tcPr>
          <w:p w14:paraId="62A95B23"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Е</w:t>
            </w:r>
          </w:p>
        </w:tc>
        <w:tc>
          <w:tcPr>
            <w:tcW w:w="530" w:type="pct"/>
          </w:tcPr>
          <w:p w14:paraId="161A4321"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Е</w:t>
            </w:r>
          </w:p>
        </w:tc>
      </w:tr>
      <w:tr w:rsidR="00C37C6C" w:rsidRPr="002E3639" w14:paraId="27D2D1C2" w14:textId="77777777" w:rsidTr="00B12A21">
        <w:trPr>
          <w:trHeight w:val="288"/>
        </w:trPr>
        <w:tc>
          <w:tcPr>
            <w:tcW w:w="2958" w:type="pct"/>
            <w:noWrap/>
            <w:hideMark/>
          </w:tcPr>
          <w:p w14:paraId="4DBBA921" w14:textId="77777777" w:rsidR="00C37C6C" w:rsidRPr="00B12A21" w:rsidRDefault="00C37C6C" w:rsidP="00B12A21">
            <w:pPr>
              <w:spacing w:line="200" w:lineRule="atLeast"/>
              <w:contextualSpacing/>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Материалы</w:t>
            </w:r>
          </w:p>
        </w:tc>
        <w:tc>
          <w:tcPr>
            <w:tcW w:w="453" w:type="pct"/>
            <w:noWrap/>
            <w:hideMark/>
          </w:tcPr>
          <w:p w14:paraId="33543BFE"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w:t>
            </w:r>
          </w:p>
        </w:tc>
        <w:tc>
          <w:tcPr>
            <w:tcW w:w="530" w:type="pct"/>
            <w:noWrap/>
            <w:hideMark/>
          </w:tcPr>
          <w:p w14:paraId="418E536B"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Е</w:t>
            </w:r>
          </w:p>
        </w:tc>
        <w:tc>
          <w:tcPr>
            <w:tcW w:w="528" w:type="pct"/>
            <w:noWrap/>
            <w:hideMark/>
          </w:tcPr>
          <w:p w14:paraId="0C23090A"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Е</w:t>
            </w:r>
          </w:p>
        </w:tc>
        <w:tc>
          <w:tcPr>
            <w:tcW w:w="530" w:type="pct"/>
          </w:tcPr>
          <w:p w14:paraId="371E7DF4"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Е</w:t>
            </w:r>
          </w:p>
        </w:tc>
      </w:tr>
      <w:tr w:rsidR="00C37C6C" w:rsidRPr="002E3639" w14:paraId="2F475BB5" w14:textId="77777777" w:rsidTr="00B12A21">
        <w:trPr>
          <w:trHeight w:val="288"/>
        </w:trPr>
        <w:tc>
          <w:tcPr>
            <w:tcW w:w="2958" w:type="pct"/>
            <w:noWrap/>
            <w:hideMark/>
          </w:tcPr>
          <w:p w14:paraId="5DC5CA54" w14:textId="0DB48735" w:rsidR="00C37C6C" w:rsidRPr="00B12A21" w:rsidRDefault="00C37C6C" w:rsidP="00B12A21">
            <w:pPr>
              <w:spacing w:line="200" w:lineRule="atLeast"/>
              <w:contextualSpacing/>
              <w:rPr>
                <w:rFonts w:ascii="Tahoma" w:eastAsia="Times New Roman" w:hAnsi="Tahoma" w:cs="Tahoma"/>
                <w:color w:val="000000"/>
                <w:sz w:val="20"/>
                <w:szCs w:val="20"/>
                <w:lang w:val="ru-RU"/>
              </w:rPr>
            </w:pPr>
            <w:r w:rsidRPr="00B12A21">
              <w:rPr>
                <w:rFonts w:ascii="Tahoma" w:eastAsia="Times New Roman" w:hAnsi="Tahoma" w:cs="Tahoma"/>
                <w:color w:val="000000"/>
                <w:sz w:val="20"/>
                <w:szCs w:val="20"/>
                <w:lang w:val="ru-RU"/>
              </w:rPr>
              <w:t>Оценка точности расчета физобъемов (поправк</w:t>
            </w:r>
            <w:r w:rsidR="002E3639">
              <w:rPr>
                <w:rFonts w:ascii="Tahoma" w:eastAsia="Times New Roman" w:hAnsi="Tahoma" w:cs="Tahoma"/>
                <w:color w:val="000000"/>
                <w:sz w:val="20"/>
                <w:szCs w:val="20"/>
                <w:lang w:val="ru-RU"/>
              </w:rPr>
              <w:t>а</w:t>
            </w:r>
            <w:r w:rsidRPr="00B12A21">
              <w:rPr>
                <w:rFonts w:ascii="Tahoma" w:eastAsia="Times New Roman" w:hAnsi="Tahoma" w:cs="Tahoma"/>
                <w:color w:val="000000"/>
                <w:sz w:val="20"/>
                <w:szCs w:val="20"/>
                <w:lang w:val="ru-RU"/>
              </w:rPr>
              <w:t>)*</w:t>
            </w:r>
          </w:p>
        </w:tc>
        <w:tc>
          <w:tcPr>
            <w:tcW w:w="453" w:type="pct"/>
            <w:noWrap/>
            <w:hideMark/>
          </w:tcPr>
          <w:p w14:paraId="07EFE3F7"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Е</w:t>
            </w:r>
          </w:p>
        </w:tc>
        <w:tc>
          <w:tcPr>
            <w:tcW w:w="530" w:type="pct"/>
            <w:noWrap/>
            <w:hideMark/>
          </w:tcPr>
          <w:p w14:paraId="19094057"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Е</w:t>
            </w:r>
          </w:p>
        </w:tc>
        <w:tc>
          <w:tcPr>
            <w:tcW w:w="528" w:type="pct"/>
            <w:noWrap/>
            <w:hideMark/>
          </w:tcPr>
          <w:p w14:paraId="12F619A2"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Е</w:t>
            </w:r>
          </w:p>
        </w:tc>
        <w:tc>
          <w:tcPr>
            <w:tcW w:w="530" w:type="pct"/>
          </w:tcPr>
          <w:p w14:paraId="06420F08"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w:t>
            </w:r>
          </w:p>
        </w:tc>
      </w:tr>
      <w:tr w:rsidR="00C37C6C" w:rsidRPr="002E3639" w14:paraId="31D7A79B" w14:textId="77777777" w:rsidTr="00B12A21">
        <w:trPr>
          <w:trHeight w:val="288"/>
        </w:trPr>
        <w:tc>
          <w:tcPr>
            <w:tcW w:w="2958" w:type="pct"/>
            <w:noWrap/>
            <w:hideMark/>
          </w:tcPr>
          <w:p w14:paraId="5F95F243" w14:textId="77777777" w:rsidR="00C37C6C" w:rsidRPr="00B12A21" w:rsidRDefault="00C37C6C" w:rsidP="00B12A21">
            <w:pPr>
              <w:spacing w:line="200" w:lineRule="atLeast"/>
              <w:contextualSpacing/>
              <w:rPr>
                <w:rFonts w:ascii="Tahoma" w:eastAsia="Times New Roman" w:hAnsi="Tahoma" w:cs="Tahoma"/>
                <w:b/>
                <w:bCs/>
                <w:color w:val="000000"/>
                <w:sz w:val="20"/>
                <w:szCs w:val="20"/>
                <w:lang w:val="ru-RU"/>
              </w:rPr>
            </w:pPr>
            <w:r w:rsidRPr="00B12A21">
              <w:rPr>
                <w:rFonts w:ascii="Tahoma" w:eastAsia="Times New Roman" w:hAnsi="Tahoma" w:cs="Tahoma"/>
                <w:b/>
                <w:bCs/>
                <w:color w:val="000000"/>
                <w:sz w:val="20"/>
                <w:szCs w:val="20"/>
              </w:rPr>
              <w:t>Цены</w:t>
            </w:r>
          </w:p>
        </w:tc>
        <w:tc>
          <w:tcPr>
            <w:tcW w:w="453" w:type="pct"/>
            <w:noWrap/>
            <w:hideMark/>
          </w:tcPr>
          <w:p w14:paraId="167BE76F" w14:textId="77777777" w:rsidR="00C37C6C" w:rsidRPr="00B12A21" w:rsidRDefault="00C37C6C" w:rsidP="00B12A21">
            <w:pPr>
              <w:spacing w:line="200" w:lineRule="atLeast"/>
              <w:contextualSpacing/>
              <w:jc w:val="center"/>
              <w:rPr>
                <w:rFonts w:ascii="Tahoma" w:eastAsia="Times New Roman" w:hAnsi="Tahoma" w:cs="Tahoma"/>
                <w:b/>
                <w:bCs/>
                <w:color w:val="000000"/>
                <w:sz w:val="20"/>
                <w:szCs w:val="20"/>
                <w:lang w:val="ru-RU"/>
              </w:rPr>
            </w:pPr>
            <w:r w:rsidRPr="00B12A21">
              <w:rPr>
                <w:rFonts w:ascii="Tahoma" w:eastAsia="Times New Roman" w:hAnsi="Tahoma" w:cs="Tahoma"/>
                <w:b/>
                <w:bCs/>
                <w:color w:val="000000"/>
                <w:sz w:val="20"/>
                <w:szCs w:val="20"/>
              </w:rPr>
              <w:t> </w:t>
            </w:r>
          </w:p>
        </w:tc>
        <w:tc>
          <w:tcPr>
            <w:tcW w:w="530" w:type="pct"/>
            <w:noWrap/>
            <w:hideMark/>
          </w:tcPr>
          <w:p w14:paraId="2A6A40CD" w14:textId="77777777" w:rsidR="00C37C6C" w:rsidRPr="00B12A21" w:rsidRDefault="00C37C6C" w:rsidP="00B12A21">
            <w:pPr>
              <w:spacing w:line="200" w:lineRule="atLeast"/>
              <w:contextualSpacing/>
              <w:jc w:val="center"/>
              <w:rPr>
                <w:rFonts w:ascii="Tahoma" w:eastAsia="Times New Roman" w:hAnsi="Tahoma" w:cs="Tahoma"/>
                <w:b/>
                <w:bCs/>
                <w:color w:val="000000"/>
                <w:sz w:val="20"/>
                <w:szCs w:val="20"/>
                <w:lang w:val="ru-RU"/>
              </w:rPr>
            </w:pPr>
            <w:r w:rsidRPr="00B12A21">
              <w:rPr>
                <w:rFonts w:ascii="Tahoma" w:eastAsia="Times New Roman" w:hAnsi="Tahoma" w:cs="Tahoma"/>
                <w:b/>
                <w:bCs/>
                <w:color w:val="000000"/>
                <w:sz w:val="20"/>
                <w:szCs w:val="20"/>
              </w:rPr>
              <w:t> </w:t>
            </w:r>
          </w:p>
        </w:tc>
        <w:tc>
          <w:tcPr>
            <w:tcW w:w="528" w:type="pct"/>
            <w:noWrap/>
            <w:hideMark/>
          </w:tcPr>
          <w:p w14:paraId="4944CA25" w14:textId="77777777" w:rsidR="00C37C6C" w:rsidRPr="00B12A21" w:rsidRDefault="00C37C6C" w:rsidP="00B12A21">
            <w:pPr>
              <w:spacing w:line="200" w:lineRule="atLeast"/>
              <w:contextualSpacing/>
              <w:jc w:val="center"/>
              <w:rPr>
                <w:rFonts w:ascii="Tahoma" w:eastAsia="Times New Roman" w:hAnsi="Tahoma" w:cs="Tahoma"/>
                <w:b/>
                <w:bCs/>
                <w:color w:val="000000"/>
                <w:sz w:val="20"/>
                <w:szCs w:val="20"/>
                <w:lang w:val="ru-RU"/>
              </w:rPr>
            </w:pPr>
            <w:r w:rsidRPr="00B12A21">
              <w:rPr>
                <w:rFonts w:ascii="Tahoma" w:eastAsia="Times New Roman" w:hAnsi="Tahoma" w:cs="Tahoma"/>
                <w:b/>
                <w:bCs/>
                <w:color w:val="000000"/>
                <w:sz w:val="20"/>
                <w:szCs w:val="20"/>
              </w:rPr>
              <w:t> </w:t>
            </w:r>
          </w:p>
        </w:tc>
        <w:tc>
          <w:tcPr>
            <w:tcW w:w="530" w:type="pct"/>
          </w:tcPr>
          <w:p w14:paraId="6F0BC6D4"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 </w:t>
            </w:r>
          </w:p>
        </w:tc>
      </w:tr>
      <w:tr w:rsidR="00C37C6C" w:rsidRPr="002E3639" w14:paraId="0208B0C7" w14:textId="77777777" w:rsidTr="00B12A21">
        <w:trPr>
          <w:trHeight w:val="288"/>
        </w:trPr>
        <w:tc>
          <w:tcPr>
            <w:tcW w:w="2958" w:type="pct"/>
            <w:noWrap/>
            <w:hideMark/>
          </w:tcPr>
          <w:p w14:paraId="3945B110" w14:textId="77777777" w:rsidR="00C37C6C" w:rsidRPr="00B12A21" w:rsidRDefault="00C37C6C" w:rsidP="00B12A21">
            <w:pPr>
              <w:spacing w:line="200" w:lineRule="atLeast"/>
              <w:contextualSpacing/>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Работы</w:t>
            </w:r>
          </w:p>
        </w:tc>
        <w:tc>
          <w:tcPr>
            <w:tcW w:w="453" w:type="pct"/>
            <w:noWrap/>
            <w:hideMark/>
          </w:tcPr>
          <w:p w14:paraId="41A67ECA"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Client</w:t>
            </w:r>
          </w:p>
        </w:tc>
        <w:tc>
          <w:tcPr>
            <w:tcW w:w="530" w:type="pct"/>
            <w:noWrap/>
            <w:hideMark/>
          </w:tcPr>
          <w:p w14:paraId="2B5AEC44"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Client/C</w:t>
            </w:r>
          </w:p>
        </w:tc>
        <w:tc>
          <w:tcPr>
            <w:tcW w:w="528" w:type="pct"/>
            <w:noWrap/>
            <w:hideMark/>
          </w:tcPr>
          <w:p w14:paraId="5A26C139"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Client/C</w:t>
            </w:r>
          </w:p>
        </w:tc>
        <w:tc>
          <w:tcPr>
            <w:tcW w:w="530" w:type="pct"/>
          </w:tcPr>
          <w:p w14:paraId="1BCF7D5A"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Client/C</w:t>
            </w:r>
          </w:p>
        </w:tc>
      </w:tr>
      <w:tr w:rsidR="00C37C6C" w:rsidRPr="002E3639" w14:paraId="66093C50" w14:textId="77777777" w:rsidTr="00B12A21">
        <w:trPr>
          <w:trHeight w:val="288"/>
        </w:trPr>
        <w:tc>
          <w:tcPr>
            <w:tcW w:w="2958" w:type="pct"/>
            <w:noWrap/>
            <w:hideMark/>
          </w:tcPr>
          <w:p w14:paraId="227275EC" w14:textId="77777777" w:rsidR="00C37C6C" w:rsidRPr="00B12A21" w:rsidRDefault="00C37C6C" w:rsidP="00B12A21">
            <w:pPr>
              <w:spacing w:line="200" w:lineRule="atLeast"/>
              <w:contextualSpacing/>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Оборудование основное технологическое</w:t>
            </w:r>
          </w:p>
        </w:tc>
        <w:tc>
          <w:tcPr>
            <w:tcW w:w="453" w:type="pct"/>
            <w:noWrap/>
            <w:hideMark/>
          </w:tcPr>
          <w:p w14:paraId="1C2297FC"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Е/P</w:t>
            </w:r>
          </w:p>
        </w:tc>
        <w:tc>
          <w:tcPr>
            <w:tcW w:w="530" w:type="pct"/>
            <w:noWrap/>
            <w:hideMark/>
          </w:tcPr>
          <w:p w14:paraId="762D6055"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Е/P</w:t>
            </w:r>
          </w:p>
        </w:tc>
        <w:tc>
          <w:tcPr>
            <w:tcW w:w="528" w:type="pct"/>
            <w:noWrap/>
            <w:hideMark/>
          </w:tcPr>
          <w:p w14:paraId="45D58926"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P</w:t>
            </w:r>
          </w:p>
        </w:tc>
        <w:tc>
          <w:tcPr>
            <w:tcW w:w="530" w:type="pct"/>
          </w:tcPr>
          <w:p w14:paraId="2BFB62C7"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P</w:t>
            </w:r>
          </w:p>
        </w:tc>
      </w:tr>
      <w:tr w:rsidR="00C37C6C" w:rsidRPr="002E3639" w14:paraId="37C22D55" w14:textId="77777777" w:rsidTr="00B12A21">
        <w:trPr>
          <w:trHeight w:val="288"/>
        </w:trPr>
        <w:tc>
          <w:tcPr>
            <w:tcW w:w="2958" w:type="pct"/>
            <w:noWrap/>
            <w:hideMark/>
          </w:tcPr>
          <w:p w14:paraId="0B5BC8F8" w14:textId="77777777" w:rsidR="00C37C6C" w:rsidRPr="00B12A21" w:rsidRDefault="00C37C6C" w:rsidP="00B12A21">
            <w:pPr>
              <w:spacing w:line="200" w:lineRule="atLeast"/>
              <w:contextualSpacing/>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Оборудование прочее</w:t>
            </w:r>
          </w:p>
        </w:tc>
        <w:tc>
          <w:tcPr>
            <w:tcW w:w="453" w:type="pct"/>
            <w:noWrap/>
            <w:hideMark/>
          </w:tcPr>
          <w:p w14:paraId="5B3987E4"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E/P</w:t>
            </w:r>
          </w:p>
        </w:tc>
        <w:tc>
          <w:tcPr>
            <w:tcW w:w="530" w:type="pct"/>
            <w:noWrap/>
            <w:hideMark/>
          </w:tcPr>
          <w:p w14:paraId="491F1FB4"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E/P</w:t>
            </w:r>
          </w:p>
        </w:tc>
        <w:tc>
          <w:tcPr>
            <w:tcW w:w="528" w:type="pct"/>
            <w:noWrap/>
            <w:hideMark/>
          </w:tcPr>
          <w:p w14:paraId="4A10091E"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E/P</w:t>
            </w:r>
          </w:p>
        </w:tc>
        <w:tc>
          <w:tcPr>
            <w:tcW w:w="530" w:type="pct"/>
          </w:tcPr>
          <w:p w14:paraId="643A9DBC"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E/P</w:t>
            </w:r>
          </w:p>
        </w:tc>
      </w:tr>
      <w:tr w:rsidR="00C37C6C" w:rsidRPr="002E3639" w14:paraId="3B32DACD" w14:textId="77777777" w:rsidTr="00B12A21">
        <w:trPr>
          <w:trHeight w:val="288"/>
        </w:trPr>
        <w:tc>
          <w:tcPr>
            <w:tcW w:w="2958" w:type="pct"/>
            <w:noWrap/>
            <w:hideMark/>
          </w:tcPr>
          <w:p w14:paraId="2F51EF45" w14:textId="77777777" w:rsidR="00C37C6C" w:rsidRPr="00B12A21" w:rsidRDefault="00C37C6C" w:rsidP="00B12A21">
            <w:pPr>
              <w:spacing w:line="200" w:lineRule="atLeast"/>
              <w:contextualSpacing/>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 xml:space="preserve">Материалы </w:t>
            </w:r>
          </w:p>
        </w:tc>
        <w:tc>
          <w:tcPr>
            <w:tcW w:w="453" w:type="pct"/>
            <w:noWrap/>
            <w:hideMark/>
          </w:tcPr>
          <w:p w14:paraId="7554F84A"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Client</w:t>
            </w:r>
          </w:p>
        </w:tc>
        <w:tc>
          <w:tcPr>
            <w:tcW w:w="530" w:type="pct"/>
            <w:noWrap/>
            <w:hideMark/>
          </w:tcPr>
          <w:p w14:paraId="57C620FF"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Client</w:t>
            </w:r>
          </w:p>
        </w:tc>
        <w:tc>
          <w:tcPr>
            <w:tcW w:w="528" w:type="pct"/>
            <w:noWrap/>
            <w:hideMark/>
          </w:tcPr>
          <w:p w14:paraId="66ECC90D"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E</w:t>
            </w:r>
          </w:p>
        </w:tc>
        <w:tc>
          <w:tcPr>
            <w:tcW w:w="530" w:type="pct"/>
          </w:tcPr>
          <w:p w14:paraId="24E9DF93"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C/P</w:t>
            </w:r>
          </w:p>
        </w:tc>
      </w:tr>
      <w:tr w:rsidR="00C37C6C" w:rsidRPr="002E3639" w14:paraId="353D1ED7" w14:textId="77777777" w:rsidTr="00B12A21">
        <w:trPr>
          <w:trHeight w:val="288"/>
        </w:trPr>
        <w:tc>
          <w:tcPr>
            <w:tcW w:w="2958" w:type="pct"/>
            <w:noWrap/>
            <w:hideMark/>
          </w:tcPr>
          <w:p w14:paraId="2900C07E" w14:textId="77777777" w:rsidR="00C37C6C" w:rsidRPr="00B12A21" w:rsidRDefault="00C37C6C" w:rsidP="00B12A21">
            <w:pPr>
              <w:spacing w:line="200" w:lineRule="atLeast"/>
              <w:contextualSpacing/>
              <w:rPr>
                <w:rFonts w:ascii="Tahoma" w:eastAsia="Times New Roman" w:hAnsi="Tahoma" w:cs="Tahoma"/>
                <w:b/>
                <w:bCs/>
                <w:color w:val="000000"/>
                <w:sz w:val="20"/>
                <w:szCs w:val="20"/>
                <w:lang w:val="ru-RU"/>
              </w:rPr>
            </w:pPr>
            <w:r w:rsidRPr="00B12A21">
              <w:rPr>
                <w:rFonts w:ascii="Tahoma" w:eastAsia="Times New Roman" w:hAnsi="Tahoma" w:cs="Tahoma"/>
                <w:b/>
                <w:bCs/>
                <w:color w:val="000000"/>
                <w:sz w:val="20"/>
                <w:szCs w:val="20"/>
              </w:rPr>
              <w:t>Прочие затраты</w:t>
            </w:r>
          </w:p>
        </w:tc>
        <w:tc>
          <w:tcPr>
            <w:tcW w:w="453" w:type="pct"/>
            <w:noWrap/>
            <w:hideMark/>
          </w:tcPr>
          <w:p w14:paraId="1CE56955" w14:textId="77777777" w:rsidR="00C37C6C" w:rsidRPr="00B12A21" w:rsidRDefault="00C37C6C" w:rsidP="00B12A21">
            <w:pPr>
              <w:spacing w:line="200" w:lineRule="atLeast"/>
              <w:contextualSpacing/>
              <w:jc w:val="center"/>
              <w:rPr>
                <w:rFonts w:ascii="Tahoma" w:eastAsia="Times New Roman" w:hAnsi="Tahoma" w:cs="Tahoma"/>
                <w:b/>
                <w:bCs/>
                <w:color w:val="000000"/>
                <w:sz w:val="20"/>
                <w:szCs w:val="20"/>
                <w:lang w:val="ru-RU"/>
              </w:rPr>
            </w:pPr>
            <w:r w:rsidRPr="00B12A21">
              <w:rPr>
                <w:rFonts w:ascii="Tahoma" w:eastAsia="Times New Roman" w:hAnsi="Tahoma" w:cs="Tahoma"/>
                <w:b/>
                <w:bCs/>
                <w:color w:val="000000"/>
                <w:sz w:val="20"/>
                <w:szCs w:val="20"/>
              </w:rPr>
              <w:t> </w:t>
            </w:r>
          </w:p>
        </w:tc>
        <w:tc>
          <w:tcPr>
            <w:tcW w:w="530" w:type="pct"/>
            <w:noWrap/>
            <w:hideMark/>
          </w:tcPr>
          <w:p w14:paraId="2806A744" w14:textId="77777777" w:rsidR="00C37C6C" w:rsidRPr="00B12A21" w:rsidRDefault="00C37C6C" w:rsidP="00B12A21">
            <w:pPr>
              <w:spacing w:line="200" w:lineRule="atLeast"/>
              <w:contextualSpacing/>
              <w:jc w:val="center"/>
              <w:rPr>
                <w:rFonts w:ascii="Tahoma" w:eastAsia="Times New Roman" w:hAnsi="Tahoma" w:cs="Tahoma"/>
                <w:b/>
                <w:bCs/>
                <w:color w:val="000000"/>
                <w:sz w:val="20"/>
                <w:szCs w:val="20"/>
                <w:lang w:val="ru-RU"/>
              </w:rPr>
            </w:pPr>
            <w:r w:rsidRPr="00B12A21">
              <w:rPr>
                <w:rFonts w:ascii="Tahoma" w:eastAsia="Times New Roman" w:hAnsi="Tahoma" w:cs="Tahoma"/>
                <w:b/>
                <w:bCs/>
                <w:color w:val="000000"/>
                <w:sz w:val="20"/>
                <w:szCs w:val="20"/>
              </w:rPr>
              <w:t> </w:t>
            </w:r>
          </w:p>
        </w:tc>
        <w:tc>
          <w:tcPr>
            <w:tcW w:w="528" w:type="pct"/>
            <w:noWrap/>
            <w:hideMark/>
          </w:tcPr>
          <w:p w14:paraId="224B96D3" w14:textId="77777777" w:rsidR="00C37C6C" w:rsidRPr="00B12A21" w:rsidRDefault="00C37C6C" w:rsidP="00B12A21">
            <w:pPr>
              <w:spacing w:line="200" w:lineRule="atLeast"/>
              <w:contextualSpacing/>
              <w:jc w:val="center"/>
              <w:rPr>
                <w:rFonts w:ascii="Tahoma" w:eastAsia="Times New Roman" w:hAnsi="Tahoma" w:cs="Tahoma"/>
                <w:b/>
                <w:bCs/>
                <w:color w:val="000000"/>
                <w:sz w:val="20"/>
                <w:szCs w:val="20"/>
                <w:lang w:val="ru-RU"/>
              </w:rPr>
            </w:pPr>
            <w:r w:rsidRPr="00B12A21">
              <w:rPr>
                <w:rFonts w:ascii="Tahoma" w:eastAsia="Times New Roman" w:hAnsi="Tahoma" w:cs="Tahoma"/>
                <w:b/>
                <w:bCs/>
                <w:color w:val="000000"/>
                <w:sz w:val="20"/>
                <w:szCs w:val="20"/>
              </w:rPr>
              <w:t> </w:t>
            </w:r>
          </w:p>
        </w:tc>
        <w:tc>
          <w:tcPr>
            <w:tcW w:w="530" w:type="pct"/>
          </w:tcPr>
          <w:p w14:paraId="48E5DC31"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 </w:t>
            </w:r>
          </w:p>
        </w:tc>
      </w:tr>
      <w:tr w:rsidR="00C37C6C" w:rsidRPr="002E3639" w14:paraId="4E630FAD" w14:textId="77777777" w:rsidTr="00B12A21">
        <w:trPr>
          <w:trHeight w:val="288"/>
        </w:trPr>
        <w:tc>
          <w:tcPr>
            <w:tcW w:w="2958" w:type="pct"/>
            <w:noWrap/>
            <w:hideMark/>
          </w:tcPr>
          <w:p w14:paraId="04D4EC2F" w14:textId="77777777" w:rsidR="00C37C6C" w:rsidRPr="00B12A21" w:rsidRDefault="00C37C6C" w:rsidP="00B12A21">
            <w:pPr>
              <w:spacing w:line="200" w:lineRule="atLeast"/>
              <w:contextualSpacing/>
              <w:rPr>
                <w:rFonts w:ascii="Tahoma" w:eastAsia="Times New Roman" w:hAnsi="Tahoma" w:cs="Tahoma"/>
                <w:color w:val="000000"/>
                <w:sz w:val="20"/>
                <w:szCs w:val="20"/>
                <w:lang w:val="ru-RU"/>
              </w:rPr>
            </w:pPr>
            <w:r w:rsidRPr="00B12A21">
              <w:rPr>
                <w:rFonts w:ascii="Tahoma" w:eastAsia="Times New Roman" w:hAnsi="Tahoma" w:cs="Tahoma"/>
                <w:color w:val="000000"/>
                <w:sz w:val="20"/>
                <w:szCs w:val="20"/>
                <w:lang w:val="ru-RU"/>
              </w:rPr>
              <w:t>Прочие затраты согласно установленному перечню</w:t>
            </w:r>
          </w:p>
        </w:tc>
        <w:tc>
          <w:tcPr>
            <w:tcW w:w="453" w:type="pct"/>
            <w:noWrap/>
            <w:hideMark/>
          </w:tcPr>
          <w:p w14:paraId="777584E3"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Client</w:t>
            </w:r>
          </w:p>
        </w:tc>
        <w:tc>
          <w:tcPr>
            <w:tcW w:w="530" w:type="pct"/>
            <w:noWrap/>
            <w:hideMark/>
          </w:tcPr>
          <w:p w14:paraId="7277F30B"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Client</w:t>
            </w:r>
          </w:p>
        </w:tc>
        <w:tc>
          <w:tcPr>
            <w:tcW w:w="528" w:type="pct"/>
            <w:noWrap/>
            <w:hideMark/>
          </w:tcPr>
          <w:p w14:paraId="7EB3F37D"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Client</w:t>
            </w:r>
          </w:p>
        </w:tc>
        <w:tc>
          <w:tcPr>
            <w:tcW w:w="530" w:type="pct"/>
          </w:tcPr>
          <w:p w14:paraId="58910469" w14:textId="77777777" w:rsidR="00C37C6C" w:rsidRPr="00B12A21" w:rsidRDefault="00C37C6C" w:rsidP="00B12A21">
            <w:pPr>
              <w:spacing w:line="200" w:lineRule="atLeast"/>
              <w:contextualSpacing/>
              <w:jc w:val="center"/>
              <w:rPr>
                <w:rFonts w:ascii="Tahoma" w:eastAsia="Times New Roman" w:hAnsi="Tahoma" w:cs="Tahoma"/>
                <w:color w:val="000000"/>
                <w:sz w:val="20"/>
                <w:szCs w:val="20"/>
                <w:lang w:val="ru-RU"/>
              </w:rPr>
            </w:pPr>
            <w:r w:rsidRPr="00B12A21">
              <w:rPr>
                <w:rFonts w:ascii="Tahoma" w:eastAsia="Times New Roman" w:hAnsi="Tahoma" w:cs="Tahoma"/>
                <w:color w:val="000000"/>
                <w:sz w:val="20"/>
                <w:szCs w:val="20"/>
              </w:rPr>
              <w:t>Client</w:t>
            </w:r>
          </w:p>
        </w:tc>
      </w:tr>
    </w:tbl>
    <w:p w14:paraId="6E052030" w14:textId="52A5F2EA" w:rsidR="00C37C6C" w:rsidRPr="00B12A21" w:rsidRDefault="002E3639" w:rsidP="00B12A21">
      <w:pPr>
        <w:pStyle w:val="a3"/>
        <w:spacing w:after="0"/>
        <w:ind w:left="0" w:firstLine="0"/>
        <w:contextualSpacing w:val="0"/>
        <w:rPr>
          <w:rFonts w:cs="Tahoma"/>
          <w:i/>
          <w:color w:val="000000" w:themeColor="text1"/>
          <w:sz w:val="20"/>
          <w:szCs w:val="20"/>
          <w:lang w:val="ru-RU"/>
        </w:rPr>
      </w:pPr>
      <w:r>
        <w:rPr>
          <w:rFonts w:cs="Tahoma"/>
          <w:i/>
          <w:color w:val="000000" w:themeColor="text1"/>
          <w:sz w:val="20"/>
          <w:szCs w:val="20"/>
          <w:lang w:val="ru-RU"/>
        </w:rPr>
        <w:t>Примечание:</w:t>
      </w:r>
      <w:r>
        <w:rPr>
          <w:rFonts w:cs="Tahoma"/>
          <w:b/>
          <w:i/>
          <w:color w:val="000000" w:themeColor="text1"/>
          <w:sz w:val="20"/>
          <w:szCs w:val="20"/>
          <w:lang w:val="ru-RU"/>
        </w:rPr>
        <w:t xml:space="preserve"> </w:t>
      </w:r>
      <w:r w:rsidR="00C37C6C" w:rsidRPr="00B12A21">
        <w:rPr>
          <w:rFonts w:cs="Tahoma"/>
          <w:b/>
          <w:i/>
          <w:color w:val="000000" w:themeColor="text1"/>
          <w:sz w:val="20"/>
          <w:szCs w:val="20"/>
        </w:rPr>
        <w:t>E</w:t>
      </w:r>
      <w:r w:rsidR="00C37C6C" w:rsidRPr="00B12A21">
        <w:rPr>
          <w:rFonts w:cs="Tahoma"/>
          <w:i/>
          <w:color w:val="000000" w:themeColor="text1"/>
          <w:sz w:val="20"/>
          <w:szCs w:val="20"/>
        </w:rPr>
        <w:t xml:space="preserve"> – проектировщик;</w:t>
      </w:r>
      <w:r>
        <w:rPr>
          <w:rFonts w:cs="Tahoma"/>
          <w:i/>
          <w:color w:val="000000" w:themeColor="text1"/>
          <w:sz w:val="20"/>
          <w:szCs w:val="20"/>
          <w:lang w:val="ru-RU"/>
        </w:rPr>
        <w:t xml:space="preserve"> </w:t>
      </w:r>
      <w:r w:rsidR="00C37C6C" w:rsidRPr="00B12A21">
        <w:rPr>
          <w:rFonts w:cs="Tahoma"/>
          <w:b/>
          <w:i/>
          <w:color w:val="000000" w:themeColor="text1"/>
          <w:sz w:val="20"/>
          <w:szCs w:val="20"/>
        </w:rPr>
        <w:t xml:space="preserve">P </w:t>
      </w:r>
      <w:r w:rsidR="00C37C6C" w:rsidRPr="00B12A21">
        <w:rPr>
          <w:rFonts w:cs="Tahoma"/>
          <w:i/>
          <w:color w:val="000000" w:themeColor="text1"/>
          <w:sz w:val="20"/>
          <w:szCs w:val="20"/>
        </w:rPr>
        <w:t>– поставщик (аббревиатура Р означает, что данные предоставляются поставщиком оборудования по прямому КП в адрес Заказчика);</w:t>
      </w:r>
      <w:r>
        <w:rPr>
          <w:rFonts w:cs="Tahoma"/>
          <w:i/>
          <w:color w:val="000000" w:themeColor="text1"/>
          <w:sz w:val="20"/>
          <w:szCs w:val="20"/>
          <w:lang w:val="ru-RU"/>
        </w:rPr>
        <w:t xml:space="preserve"> </w:t>
      </w:r>
      <w:r w:rsidR="00C37C6C" w:rsidRPr="00B12A21">
        <w:rPr>
          <w:rFonts w:cs="Tahoma"/>
          <w:b/>
          <w:i/>
          <w:color w:val="000000" w:themeColor="text1"/>
          <w:sz w:val="20"/>
          <w:szCs w:val="20"/>
        </w:rPr>
        <w:t>С</w:t>
      </w:r>
      <w:r w:rsidR="00C37C6C" w:rsidRPr="00B12A21">
        <w:rPr>
          <w:rFonts w:cs="Tahoma"/>
          <w:i/>
          <w:color w:val="000000" w:themeColor="text1"/>
          <w:sz w:val="20"/>
          <w:szCs w:val="20"/>
        </w:rPr>
        <w:t xml:space="preserve"> – </w:t>
      </w:r>
      <w:r w:rsidR="006C2276" w:rsidRPr="00B12A21">
        <w:rPr>
          <w:rFonts w:cs="Tahoma"/>
          <w:i/>
          <w:color w:val="000000" w:themeColor="text1"/>
          <w:sz w:val="20"/>
          <w:szCs w:val="20"/>
        </w:rPr>
        <w:t>С/ЕРС-</w:t>
      </w:r>
      <w:r w:rsidR="00C37C6C" w:rsidRPr="00B12A21">
        <w:rPr>
          <w:rFonts w:cs="Tahoma"/>
          <w:i/>
          <w:color w:val="000000" w:themeColor="text1"/>
          <w:sz w:val="20"/>
          <w:szCs w:val="20"/>
        </w:rPr>
        <w:t>подрядчик;</w:t>
      </w:r>
      <w:r>
        <w:rPr>
          <w:rFonts w:cs="Tahoma"/>
          <w:i/>
          <w:color w:val="000000" w:themeColor="text1"/>
          <w:sz w:val="20"/>
          <w:szCs w:val="20"/>
          <w:lang w:val="ru-RU"/>
        </w:rPr>
        <w:t xml:space="preserve"> </w:t>
      </w:r>
      <w:r w:rsidR="00C37C6C" w:rsidRPr="00B12A21">
        <w:rPr>
          <w:rFonts w:cs="Tahoma"/>
          <w:b/>
          <w:i/>
          <w:color w:val="000000" w:themeColor="text1"/>
          <w:sz w:val="20"/>
          <w:szCs w:val="20"/>
          <w:lang w:val="ru-RU"/>
        </w:rPr>
        <w:t>Client</w:t>
      </w:r>
      <w:r w:rsidR="00C37C6C" w:rsidRPr="00B12A21">
        <w:rPr>
          <w:rFonts w:cs="Tahoma"/>
          <w:i/>
          <w:color w:val="000000" w:themeColor="text1"/>
          <w:sz w:val="20"/>
          <w:szCs w:val="20"/>
          <w:lang w:val="ru-RU"/>
        </w:rPr>
        <w:t xml:space="preserve"> – заказчик</w:t>
      </w:r>
      <w:r w:rsidR="00C37C6C" w:rsidRPr="00B12A21">
        <w:rPr>
          <w:rFonts w:cs="Tahoma"/>
          <w:i/>
          <w:color w:val="000000" w:themeColor="text1"/>
          <w:sz w:val="20"/>
          <w:szCs w:val="20"/>
        </w:rPr>
        <w:t>.</w:t>
      </w:r>
    </w:p>
    <w:p w14:paraId="55B0CD98" w14:textId="77777777" w:rsidR="00C37C6C" w:rsidRPr="00B12A21" w:rsidRDefault="00C37C6C" w:rsidP="00B12A21">
      <w:pPr>
        <w:pStyle w:val="a3"/>
        <w:spacing w:after="0"/>
        <w:ind w:left="0" w:firstLine="0"/>
        <w:contextualSpacing w:val="0"/>
        <w:rPr>
          <w:rFonts w:cs="Tahoma"/>
          <w:i/>
          <w:color w:val="000000" w:themeColor="text1"/>
          <w:sz w:val="20"/>
          <w:szCs w:val="20"/>
          <w:lang w:val="ru-RU"/>
        </w:rPr>
      </w:pPr>
      <w:r w:rsidRPr="00B12A21">
        <w:rPr>
          <w:rFonts w:cs="Tahoma"/>
          <w:i/>
          <w:color w:val="000000" w:themeColor="text1"/>
          <w:sz w:val="20"/>
          <w:szCs w:val="20"/>
          <w:lang w:val="ru-RU"/>
        </w:rPr>
        <w:t>* - субъективная (экспертная) оценка проектировщика качества и точности определения им физобъемов, с учетом объемов выданных и использованных исходных данных, содержания и требований ТЗ и сроков.</w:t>
      </w:r>
      <w:r w:rsidR="006C2276" w:rsidRPr="00B12A21">
        <w:rPr>
          <w:rFonts w:cs="Tahoma"/>
          <w:i/>
          <w:color w:val="000000" w:themeColor="text1"/>
          <w:sz w:val="20"/>
          <w:szCs w:val="20"/>
          <w:lang w:val="ru-RU"/>
        </w:rPr>
        <w:t xml:space="preserve"> Детально описана в Требованиях.</w:t>
      </w:r>
    </w:p>
    <w:p w14:paraId="7ACC194E" w14:textId="6EBBD7B9" w:rsidR="00C37C6C" w:rsidRPr="000B4A67" w:rsidRDefault="00C37C6C" w:rsidP="00C37C6C">
      <w:pPr>
        <w:autoSpaceDE w:val="0"/>
        <w:autoSpaceDN w:val="0"/>
        <w:spacing w:before="120" w:after="0" w:line="240" w:lineRule="auto"/>
        <w:ind w:firstLine="720"/>
        <w:jc w:val="both"/>
        <w:rPr>
          <w:rFonts w:ascii="Tahoma" w:hAnsi="Tahoma" w:cs="Tahoma"/>
        </w:rPr>
      </w:pPr>
      <w:r w:rsidRPr="000B4A67">
        <w:rPr>
          <w:rFonts w:ascii="Tahoma" w:hAnsi="Tahoma" w:cs="Tahoma"/>
        </w:rPr>
        <w:t xml:space="preserve">Процесс оценки капитальных вложений при использовании УЕР на всех стадиях строительного проекта можно разделить на несколько </w:t>
      </w:r>
      <w:r w:rsidR="00B764B8">
        <w:rPr>
          <w:rFonts w:ascii="Tahoma" w:hAnsi="Tahoma" w:cs="Tahoma"/>
        </w:rPr>
        <w:t>этапов</w:t>
      </w:r>
      <w:r w:rsidRPr="000B4A67">
        <w:rPr>
          <w:rFonts w:ascii="Tahoma" w:hAnsi="Tahoma" w:cs="Tahoma"/>
        </w:rPr>
        <w:t xml:space="preserve">, которые </w:t>
      </w:r>
      <w:r w:rsidR="0072632F">
        <w:rPr>
          <w:rFonts w:ascii="Tahoma" w:hAnsi="Tahoma" w:cs="Tahoma"/>
        </w:rPr>
        <w:t>отражены в Требованиях:</w:t>
      </w:r>
    </w:p>
    <w:p w14:paraId="02F3C46B" w14:textId="77777777" w:rsidR="00C37C6C" w:rsidRPr="000B4A67" w:rsidRDefault="00C37C6C" w:rsidP="00B12A21">
      <w:pPr>
        <w:pStyle w:val="a3"/>
        <w:numPr>
          <w:ilvl w:val="0"/>
          <w:numId w:val="5"/>
        </w:numPr>
        <w:ind w:left="1134" w:hanging="425"/>
        <w:rPr>
          <w:rFonts w:cs="Tahoma"/>
          <w:color w:val="000000" w:themeColor="text1"/>
          <w:szCs w:val="22"/>
          <w:lang w:val="ru-RU"/>
        </w:rPr>
      </w:pPr>
      <w:r w:rsidRPr="000B4A67">
        <w:rPr>
          <w:rFonts w:cs="Tahoma"/>
          <w:color w:val="000000" w:themeColor="text1"/>
          <w:szCs w:val="22"/>
          <w:lang w:val="ru-RU"/>
        </w:rPr>
        <w:t>Разработка ВОР;</w:t>
      </w:r>
    </w:p>
    <w:p w14:paraId="5CC2F2BE" w14:textId="2D8ADD16" w:rsidR="00C37C6C" w:rsidRPr="000B4A67" w:rsidRDefault="00C37C6C" w:rsidP="00B12A21">
      <w:pPr>
        <w:pStyle w:val="a3"/>
        <w:numPr>
          <w:ilvl w:val="0"/>
          <w:numId w:val="5"/>
        </w:numPr>
        <w:ind w:left="1134" w:hanging="425"/>
        <w:rPr>
          <w:rFonts w:cs="Tahoma"/>
          <w:color w:val="000000" w:themeColor="text1"/>
          <w:szCs w:val="22"/>
          <w:lang w:val="ru-RU"/>
        </w:rPr>
      </w:pPr>
      <w:r w:rsidRPr="000B4A67">
        <w:rPr>
          <w:rFonts w:cs="Tahoma"/>
          <w:color w:val="000000" w:themeColor="text1"/>
          <w:szCs w:val="22"/>
          <w:lang w:val="ru-RU"/>
        </w:rPr>
        <w:t xml:space="preserve">Мониторинг цен на </w:t>
      </w:r>
      <w:r w:rsidR="00383302">
        <w:rPr>
          <w:rFonts w:cs="Tahoma"/>
          <w:color w:val="000000" w:themeColor="text1"/>
          <w:szCs w:val="22"/>
          <w:lang w:val="ru-RU"/>
        </w:rPr>
        <w:t>материально-технические ресурсы (далее – МТР, применительно к материалам и оборудованию)</w:t>
      </w:r>
      <w:r w:rsidRPr="000B4A67">
        <w:rPr>
          <w:rFonts w:cs="Tahoma"/>
          <w:color w:val="000000" w:themeColor="text1"/>
          <w:szCs w:val="22"/>
          <w:lang w:val="ru-RU"/>
        </w:rPr>
        <w:t>;</w:t>
      </w:r>
    </w:p>
    <w:p w14:paraId="3DE753DE" w14:textId="374FD1B6" w:rsidR="00C37C6C" w:rsidRDefault="00C37C6C" w:rsidP="00B12A21">
      <w:pPr>
        <w:pStyle w:val="a3"/>
        <w:numPr>
          <w:ilvl w:val="0"/>
          <w:numId w:val="5"/>
        </w:numPr>
        <w:ind w:left="1134" w:hanging="425"/>
        <w:rPr>
          <w:rFonts w:cs="Tahoma"/>
          <w:color w:val="000000" w:themeColor="text1"/>
          <w:szCs w:val="22"/>
          <w:lang w:val="ru-RU"/>
        </w:rPr>
      </w:pPr>
      <w:r w:rsidRPr="000B4A67">
        <w:rPr>
          <w:rFonts w:cs="Tahoma"/>
          <w:color w:val="000000" w:themeColor="text1"/>
          <w:szCs w:val="22"/>
          <w:lang w:val="ru-RU"/>
        </w:rPr>
        <w:t xml:space="preserve">Оценка стоимости </w:t>
      </w:r>
      <w:r w:rsidR="0072632F">
        <w:rPr>
          <w:rFonts w:cs="Tahoma"/>
          <w:color w:val="000000" w:themeColor="text1"/>
          <w:szCs w:val="22"/>
          <w:lang w:val="ru-RU"/>
        </w:rPr>
        <w:t>СМР</w:t>
      </w:r>
      <w:r w:rsidR="0072632F" w:rsidRPr="000B4A67">
        <w:rPr>
          <w:rFonts w:cs="Tahoma"/>
          <w:color w:val="000000" w:themeColor="text1"/>
          <w:szCs w:val="22"/>
          <w:lang w:val="ru-RU"/>
        </w:rPr>
        <w:t xml:space="preserve"> </w:t>
      </w:r>
      <w:r w:rsidR="005D5E2D">
        <w:rPr>
          <w:rFonts w:cs="Tahoma"/>
          <w:color w:val="000000" w:themeColor="text1"/>
          <w:szCs w:val="22"/>
          <w:lang w:val="ru-RU"/>
        </w:rPr>
        <w:t xml:space="preserve">на основании </w:t>
      </w:r>
      <w:r w:rsidR="0072632F">
        <w:rPr>
          <w:rFonts w:cs="Tahoma"/>
          <w:color w:val="000000" w:themeColor="text1"/>
          <w:szCs w:val="22"/>
          <w:lang w:val="ru-RU"/>
        </w:rPr>
        <w:t xml:space="preserve">бенчмарка и объемов работ в </w:t>
      </w:r>
      <w:r w:rsidRPr="000B4A67">
        <w:rPr>
          <w:rFonts w:cs="Tahoma"/>
          <w:color w:val="000000" w:themeColor="text1"/>
          <w:szCs w:val="22"/>
          <w:lang w:val="ru-RU"/>
        </w:rPr>
        <w:t>ВОР;</w:t>
      </w:r>
    </w:p>
    <w:p w14:paraId="53D96992" w14:textId="3EC48C3E" w:rsidR="00A51DD7" w:rsidRPr="000B4A67" w:rsidRDefault="00A51DD7" w:rsidP="00B12A21">
      <w:pPr>
        <w:pStyle w:val="a3"/>
        <w:numPr>
          <w:ilvl w:val="0"/>
          <w:numId w:val="5"/>
        </w:numPr>
        <w:ind w:left="1134" w:hanging="425"/>
        <w:rPr>
          <w:rFonts w:cs="Tahoma"/>
          <w:color w:val="000000" w:themeColor="text1"/>
          <w:szCs w:val="22"/>
          <w:lang w:val="ru-RU"/>
        </w:rPr>
      </w:pPr>
      <w:r>
        <w:rPr>
          <w:rFonts w:cs="Tahoma"/>
          <w:color w:val="000000" w:themeColor="text1"/>
          <w:szCs w:val="22"/>
          <w:lang w:val="ru-RU"/>
        </w:rPr>
        <w:t>Ф</w:t>
      </w:r>
      <w:r w:rsidR="00587869">
        <w:rPr>
          <w:rFonts w:cs="Tahoma"/>
          <w:color w:val="000000" w:themeColor="text1"/>
          <w:szCs w:val="22"/>
          <w:lang w:val="ru-RU"/>
        </w:rPr>
        <w:t xml:space="preserve">ормирование </w:t>
      </w:r>
      <w:r w:rsidR="0072632F">
        <w:rPr>
          <w:rFonts w:cs="Tahoma"/>
          <w:color w:val="000000" w:themeColor="text1"/>
          <w:szCs w:val="22"/>
          <w:lang w:val="ru-RU"/>
        </w:rPr>
        <w:t xml:space="preserve">локальных и объектных </w:t>
      </w:r>
      <w:r w:rsidR="00587869">
        <w:rPr>
          <w:rFonts w:cs="Tahoma"/>
          <w:color w:val="000000" w:themeColor="text1"/>
          <w:szCs w:val="22"/>
          <w:lang w:val="ru-RU"/>
        </w:rPr>
        <w:t>смет в ПО «Гранд-смета»</w:t>
      </w:r>
      <w:r w:rsidR="00B764B8">
        <w:rPr>
          <w:rFonts w:cs="Tahoma"/>
          <w:color w:val="000000" w:themeColor="text1"/>
          <w:szCs w:val="22"/>
          <w:lang w:val="ru-RU"/>
        </w:rPr>
        <w:t>.</w:t>
      </w:r>
      <w:r w:rsidR="0072632F">
        <w:rPr>
          <w:rFonts w:cs="Tahoma"/>
          <w:color w:val="000000" w:themeColor="text1"/>
          <w:szCs w:val="22"/>
          <w:lang w:val="ru-RU"/>
        </w:rPr>
        <w:t xml:space="preserve"> </w:t>
      </w:r>
      <w:r w:rsidR="00B764B8">
        <w:rPr>
          <w:rFonts w:cs="Tahoma"/>
          <w:color w:val="000000" w:themeColor="text1"/>
          <w:szCs w:val="22"/>
          <w:lang w:val="ru-RU"/>
        </w:rPr>
        <w:t xml:space="preserve">Перенос данных в ПО «Гранд-смета» (если расчеты изначально выполняются в </w:t>
      </w:r>
      <w:r w:rsidR="00B764B8">
        <w:rPr>
          <w:rFonts w:cs="Tahoma"/>
          <w:color w:val="000000" w:themeColor="text1"/>
          <w:szCs w:val="22"/>
          <w:lang w:val="en-US"/>
        </w:rPr>
        <w:t>Excel</w:t>
      </w:r>
      <w:r w:rsidR="00B764B8">
        <w:rPr>
          <w:rFonts w:cs="Tahoma"/>
          <w:color w:val="000000" w:themeColor="text1"/>
          <w:szCs w:val="22"/>
          <w:lang w:val="ru-RU"/>
        </w:rPr>
        <w:t xml:space="preserve">) или выгрузка в </w:t>
      </w:r>
      <w:r w:rsidR="00B764B8">
        <w:rPr>
          <w:rFonts w:cs="Tahoma"/>
          <w:color w:val="000000" w:themeColor="text1"/>
          <w:szCs w:val="22"/>
          <w:lang w:val="en-US"/>
        </w:rPr>
        <w:t>Excel</w:t>
      </w:r>
      <w:r w:rsidR="00B764B8" w:rsidRPr="00AC532E">
        <w:rPr>
          <w:rFonts w:cs="Tahoma"/>
          <w:color w:val="000000" w:themeColor="text1"/>
          <w:szCs w:val="22"/>
          <w:lang w:val="ru-RU"/>
        </w:rPr>
        <w:t xml:space="preserve"> </w:t>
      </w:r>
      <w:r w:rsidR="00B764B8">
        <w:rPr>
          <w:rFonts w:cs="Tahoma"/>
          <w:color w:val="000000" w:themeColor="text1"/>
          <w:szCs w:val="22"/>
          <w:lang w:val="ru-RU"/>
        </w:rPr>
        <w:t>(если расчеты изначально выполняются в ПО «Гранд-смета»)</w:t>
      </w:r>
    </w:p>
    <w:p w14:paraId="6E894B41" w14:textId="12DE24F4" w:rsidR="00C37C6C" w:rsidRPr="000B4A67" w:rsidRDefault="00C37C6C" w:rsidP="00B12A21">
      <w:pPr>
        <w:pStyle w:val="a3"/>
        <w:numPr>
          <w:ilvl w:val="0"/>
          <w:numId w:val="5"/>
        </w:numPr>
        <w:ind w:left="1134" w:hanging="425"/>
        <w:rPr>
          <w:rFonts w:cs="Tahoma"/>
          <w:color w:val="000000" w:themeColor="text1"/>
          <w:szCs w:val="22"/>
          <w:lang w:val="ru-RU"/>
        </w:rPr>
      </w:pPr>
      <w:r w:rsidRPr="000B4A67">
        <w:rPr>
          <w:rFonts w:cs="Tahoma"/>
          <w:color w:val="000000" w:themeColor="text1"/>
          <w:szCs w:val="22"/>
          <w:lang w:val="ru-RU"/>
        </w:rPr>
        <w:t xml:space="preserve">Расчёт прочих затрат, </w:t>
      </w:r>
      <w:r w:rsidR="009C50FC">
        <w:rPr>
          <w:rFonts w:cs="Tahoma"/>
          <w:color w:val="000000" w:themeColor="text1"/>
          <w:szCs w:val="22"/>
          <w:lang w:val="ru-RU"/>
        </w:rPr>
        <w:t>не включенных в состав УЕР</w:t>
      </w:r>
      <w:r w:rsidRPr="000B4A67">
        <w:rPr>
          <w:rFonts w:cs="Tahoma"/>
          <w:color w:val="000000" w:themeColor="text1"/>
          <w:szCs w:val="22"/>
          <w:lang w:val="ru-RU"/>
        </w:rPr>
        <w:t>;</w:t>
      </w:r>
    </w:p>
    <w:p w14:paraId="6C5A3EAC" w14:textId="55157E8C" w:rsidR="00C37C6C" w:rsidRPr="00B12A21" w:rsidRDefault="00C37C6C" w:rsidP="00B12A21">
      <w:pPr>
        <w:pStyle w:val="a3"/>
        <w:numPr>
          <w:ilvl w:val="0"/>
          <w:numId w:val="5"/>
        </w:numPr>
        <w:ind w:left="1134" w:hanging="425"/>
        <w:rPr>
          <w:rFonts w:cs="Tahoma"/>
          <w:color w:val="000000" w:themeColor="text1"/>
          <w:szCs w:val="22"/>
          <w:lang w:val="ru-RU"/>
        </w:rPr>
      </w:pPr>
      <w:r w:rsidRPr="000B4A67">
        <w:rPr>
          <w:rFonts w:cs="Tahoma"/>
          <w:color w:val="000000" w:themeColor="text1"/>
          <w:szCs w:val="22"/>
          <w:lang w:val="ru-RU"/>
        </w:rPr>
        <w:t xml:space="preserve">Формирование </w:t>
      </w:r>
      <w:r w:rsidR="009C50FC">
        <w:rPr>
          <w:rFonts w:cs="Tahoma"/>
          <w:color w:val="000000" w:themeColor="text1"/>
          <w:szCs w:val="22"/>
          <w:lang w:val="ru-RU"/>
        </w:rPr>
        <w:t>сводного сметного расчета (</w:t>
      </w:r>
      <w:r w:rsidRPr="000B4A67">
        <w:rPr>
          <w:rFonts w:cs="Tahoma"/>
          <w:color w:val="000000" w:themeColor="text1"/>
          <w:szCs w:val="22"/>
          <w:lang w:val="ru-RU"/>
        </w:rPr>
        <w:t>ССР</w:t>
      </w:r>
      <w:r w:rsidR="009C50FC">
        <w:rPr>
          <w:rFonts w:cs="Tahoma"/>
          <w:color w:val="000000" w:themeColor="text1"/>
          <w:szCs w:val="22"/>
          <w:lang w:val="ru-RU"/>
        </w:rPr>
        <w:t>)</w:t>
      </w:r>
      <w:r w:rsidR="00E9320A">
        <w:rPr>
          <w:rFonts w:cs="Tahoma"/>
          <w:color w:val="000000" w:themeColor="text1"/>
          <w:szCs w:val="22"/>
          <w:lang w:val="ru-RU"/>
        </w:rPr>
        <w:t>.</w:t>
      </w:r>
    </w:p>
    <w:p w14:paraId="5D233E86" w14:textId="291E8190" w:rsidR="00C37C6C" w:rsidRDefault="00C37C6C" w:rsidP="00C37C6C">
      <w:pPr>
        <w:autoSpaceDE w:val="0"/>
        <w:autoSpaceDN w:val="0"/>
        <w:spacing w:before="120" w:after="0" w:line="240" w:lineRule="auto"/>
        <w:ind w:firstLine="720"/>
        <w:jc w:val="both"/>
        <w:rPr>
          <w:rFonts w:ascii="Tahoma" w:hAnsi="Tahoma" w:cs="Tahoma"/>
        </w:rPr>
      </w:pPr>
      <w:r w:rsidRPr="000B4A67">
        <w:rPr>
          <w:rFonts w:ascii="Tahoma" w:hAnsi="Tahoma" w:cs="Tahoma"/>
        </w:rPr>
        <w:lastRenderedPageBreak/>
        <w:t>Распределение функций и ответственность участников процесса проектирования за реализацию данных блоков может меняться в зависимости от выбранной контрактной модели и в зависимости от стадии проектирования.</w:t>
      </w:r>
    </w:p>
    <w:p w14:paraId="1DB4A463" w14:textId="3A2DD5CC" w:rsidR="000F07C4" w:rsidRPr="000B4A67" w:rsidRDefault="000F07C4" w:rsidP="000F07C4">
      <w:pPr>
        <w:autoSpaceDE w:val="0"/>
        <w:autoSpaceDN w:val="0"/>
        <w:spacing w:before="120" w:after="0" w:line="240" w:lineRule="auto"/>
        <w:ind w:firstLine="720"/>
        <w:jc w:val="both"/>
        <w:rPr>
          <w:rFonts w:ascii="Tahoma" w:hAnsi="Tahoma" w:cs="Tahoma"/>
        </w:rPr>
      </w:pPr>
      <w:r>
        <w:rPr>
          <w:rFonts w:ascii="Tahoma" w:hAnsi="Tahoma" w:cs="Tahoma"/>
        </w:rPr>
        <w:t xml:space="preserve">Типовые требования, выбранные из одного из доступных шаблонов и при необходимости уточненные для условий конкретного проекта должны оформляться Заказчиком в виде приложения к техническому заданию на разработку предпроектной/проектной документации соответствующей стадии. </w:t>
      </w:r>
      <w:r w:rsidRPr="000B4A67">
        <w:rPr>
          <w:rFonts w:ascii="Tahoma" w:hAnsi="Tahoma" w:cs="Tahoma"/>
        </w:rPr>
        <w:t>Разработчиком технического задания, передаваемого проектировщику / EPC-подрядчику на разработку предпроектной и проектной документации является Инициатор проекта (Заказчик). В части ценообразования техническое задание должно описывать условия применения Базы УЕР с учетом выбранной схемы контрактации, в том числе в техническом задании на проектирование должны содержаться:</w:t>
      </w:r>
    </w:p>
    <w:p w14:paraId="36133EC9" w14:textId="77777777" w:rsidR="000F07C4" w:rsidRDefault="000F07C4" w:rsidP="000F07C4">
      <w:pPr>
        <w:pStyle w:val="a3"/>
        <w:numPr>
          <w:ilvl w:val="0"/>
          <w:numId w:val="3"/>
        </w:numPr>
        <w:spacing w:after="0"/>
        <w:ind w:left="993" w:hanging="284"/>
        <w:rPr>
          <w:rFonts w:cs="Tahoma"/>
          <w:color w:val="000000" w:themeColor="text1"/>
          <w:szCs w:val="22"/>
          <w:lang w:val="ru-RU"/>
        </w:rPr>
      </w:pPr>
      <w:r w:rsidRPr="000B4A67">
        <w:rPr>
          <w:rFonts w:cs="Tahoma"/>
          <w:color w:val="000000" w:themeColor="text1"/>
          <w:szCs w:val="22"/>
          <w:lang w:val="ru-RU"/>
        </w:rPr>
        <w:t>Требования к формированию ВОР в УЕР;</w:t>
      </w:r>
    </w:p>
    <w:p w14:paraId="1B5C702D" w14:textId="77777777" w:rsidR="000F07C4" w:rsidRDefault="000F07C4" w:rsidP="000F07C4">
      <w:pPr>
        <w:pStyle w:val="a3"/>
        <w:numPr>
          <w:ilvl w:val="0"/>
          <w:numId w:val="3"/>
        </w:numPr>
        <w:spacing w:after="0"/>
        <w:ind w:left="993" w:hanging="284"/>
        <w:rPr>
          <w:rFonts w:cs="Tahoma"/>
          <w:color w:val="000000" w:themeColor="text1"/>
          <w:szCs w:val="22"/>
          <w:lang w:val="ru-RU"/>
        </w:rPr>
      </w:pPr>
      <w:r w:rsidRPr="000B4A67">
        <w:rPr>
          <w:rFonts w:cs="Tahoma"/>
          <w:color w:val="000000" w:themeColor="text1"/>
          <w:szCs w:val="22"/>
          <w:lang w:val="ru-RU"/>
        </w:rPr>
        <w:t>Требования к оценке элементов затрат в системе УЕР;</w:t>
      </w:r>
    </w:p>
    <w:p w14:paraId="444828F1" w14:textId="727E7F72" w:rsidR="000F07C4" w:rsidRPr="000B4A67" w:rsidRDefault="000F07C4" w:rsidP="000F07C4">
      <w:pPr>
        <w:pStyle w:val="a3"/>
        <w:numPr>
          <w:ilvl w:val="0"/>
          <w:numId w:val="3"/>
        </w:numPr>
        <w:spacing w:after="0"/>
        <w:ind w:left="993" w:hanging="284"/>
        <w:rPr>
          <w:rFonts w:cs="Tahoma"/>
          <w:color w:val="000000" w:themeColor="text1"/>
          <w:szCs w:val="22"/>
          <w:lang w:val="ru-RU"/>
        </w:rPr>
      </w:pPr>
      <w:r>
        <w:rPr>
          <w:rFonts w:cs="Tahoma"/>
          <w:color w:val="000000" w:themeColor="text1"/>
          <w:szCs w:val="22"/>
          <w:lang w:val="ru-RU"/>
        </w:rPr>
        <w:t>Требования к оформлению локальных</w:t>
      </w:r>
      <w:r w:rsidR="00FD712D">
        <w:rPr>
          <w:rFonts w:cs="Tahoma"/>
          <w:color w:val="000000" w:themeColor="text1"/>
          <w:szCs w:val="22"/>
          <w:lang w:val="ru-RU"/>
        </w:rPr>
        <w:t xml:space="preserve"> и</w:t>
      </w:r>
      <w:r>
        <w:rPr>
          <w:rFonts w:cs="Tahoma"/>
          <w:color w:val="000000" w:themeColor="text1"/>
          <w:szCs w:val="22"/>
          <w:lang w:val="ru-RU"/>
        </w:rPr>
        <w:t xml:space="preserve"> объектных </w:t>
      </w:r>
      <w:r w:rsidR="00FD712D">
        <w:rPr>
          <w:rFonts w:cs="Tahoma"/>
          <w:color w:val="000000" w:themeColor="text1"/>
          <w:szCs w:val="22"/>
          <w:lang w:val="ru-RU"/>
        </w:rPr>
        <w:t>смет, и</w:t>
      </w:r>
      <w:r>
        <w:rPr>
          <w:rFonts w:cs="Tahoma"/>
          <w:color w:val="000000" w:themeColor="text1"/>
          <w:szCs w:val="22"/>
          <w:lang w:val="ru-RU"/>
        </w:rPr>
        <w:t xml:space="preserve"> сводного </w:t>
      </w:r>
      <w:r w:rsidR="00FD712D">
        <w:rPr>
          <w:rFonts w:cs="Tahoma"/>
          <w:color w:val="000000" w:themeColor="text1"/>
          <w:szCs w:val="22"/>
          <w:lang w:val="ru-RU"/>
        </w:rPr>
        <w:t xml:space="preserve">сметного </w:t>
      </w:r>
      <w:r>
        <w:rPr>
          <w:rFonts w:cs="Tahoma"/>
          <w:color w:val="000000" w:themeColor="text1"/>
          <w:szCs w:val="22"/>
          <w:lang w:val="ru-RU"/>
        </w:rPr>
        <w:t>расч</w:t>
      </w:r>
      <w:r w:rsidR="00FD712D">
        <w:rPr>
          <w:rFonts w:cs="Tahoma"/>
          <w:color w:val="000000" w:themeColor="text1"/>
          <w:szCs w:val="22"/>
          <w:lang w:val="ru-RU"/>
        </w:rPr>
        <w:t>ета</w:t>
      </w:r>
      <w:r>
        <w:rPr>
          <w:rFonts w:cs="Tahoma"/>
          <w:color w:val="000000" w:themeColor="text1"/>
          <w:szCs w:val="22"/>
          <w:lang w:val="ru-RU"/>
        </w:rPr>
        <w:t xml:space="preserve"> для последующей загрузки в информационные системы Компании;</w:t>
      </w:r>
    </w:p>
    <w:p w14:paraId="1F57810A" w14:textId="77777777" w:rsidR="000F07C4" w:rsidRPr="000B4A67" w:rsidRDefault="000F07C4" w:rsidP="000F07C4">
      <w:pPr>
        <w:pStyle w:val="a3"/>
        <w:numPr>
          <w:ilvl w:val="0"/>
          <w:numId w:val="3"/>
        </w:numPr>
        <w:spacing w:after="0"/>
        <w:ind w:left="993" w:hanging="284"/>
        <w:rPr>
          <w:rFonts w:cs="Tahoma"/>
          <w:color w:val="000000" w:themeColor="text1"/>
          <w:szCs w:val="22"/>
          <w:lang w:val="ru-RU"/>
        </w:rPr>
      </w:pPr>
      <w:r w:rsidRPr="000B4A67">
        <w:rPr>
          <w:rFonts w:cs="Tahoma"/>
          <w:color w:val="000000" w:themeColor="text1"/>
          <w:szCs w:val="22"/>
          <w:lang w:val="ru-RU"/>
        </w:rPr>
        <w:t>Ссылки на внутренние нормативные документы, регламентирующие подход к ценообразованию с применением Базы УЕР</w:t>
      </w:r>
      <w:r>
        <w:rPr>
          <w:rFonts w:cs="Tahoma"/>
          <w:color w:val="000000" w:themeColor="text1"/>
          <w:szCs w:val="22"/>
          <w:lang w:val="ru-RU"/>
        </w:rPr>
        <w:t xml:space="preserve"> и оформление сметной документации</w:t>
      </w:r>
      <w:r w:rsidRPr="000B4A67">
        <w:rPr>
          <w:rFonts w:cs="Tahoma"/>
          <w:color w:val="000000" w:themeColor="text1"/>
          <w:szCs w:val="22"/>
          <w:lang w:val="ru-RU"/>
        </w:rPr>
        <w:t>.</w:t>
      </w:r>
    </w:p>
    <w:p w14:paraId="125D3B32" w14:textId="77777777" w:rsidR="000F07C4" w:rsidRPr="000B4A67" w:rsidRDefault="000F07C4" w:rsidP="00C37C6C">
      <w:pPr>
        <w:autoSpaceDE w:val="0"/>
        <w:autoSpaceDN w:val="0"/>
        <w:spacing w:before="120" w:after="0" w:line="240" w:lineRule="auto"/>
        <w:ind w:firstLine="720"/>
        <w:jc w:val="both"/>
        <w:rPr>
          <w:rFonts w:ascii="Tahoma" w:hAnsi="Tahoma" w:cs="Tahoma"/>
        </w:rPr>
      </w:pPr>
    </w:p>
    <w:p w14:paraId="63EDAF99" w14:textId="01F5FA0C" w:rsidR="002E3639" w:rsidRPr="00F200DA" w:rsidRDefault="002E3639" w:rsidP="002E3639">
      <w:pPr>
        <w:spacing w:after="0"/>
        <w:ind w:firstLine="709"/>
        <w:jc w:val="center"/>
        <w:rPr>
          <w:rFonts w:ascii="Tahoma" w:hAnsi="Tahoma" w:cs="Tahoma"/>
          <w:b/>
        </w:rPr>
      </w:pPr>
      <w:r>
        <w:rPr>
          <w:rFonts w:ascii="Tahoma" w:hAnsi="Tahoma" w:cs="Tahoma"/>
          <w:b/>
        </w:rPr>
        <w:t>Ключевые различия в подходах к оценке стоимости в УЕР при различных схемах контрактации</w:t>
      </w:r>
    </w:p>
    <w:p w14:paraId="2C228634" w14:textId="7E3D9064" w:rsidR="00C37C6C" w:rsidRPr="000B4A67" w:rsidRDefault="00C37C6C" w:rsidP="00C37C6C">
      <w:pPr>
        <w:autoSpaceDE w:val="0"/>
        <w:autoSpaceDN w:val="0"/>
        <w:spacing w:before="120" w:after="0" w:line="240" w:lineRule="auto"/>
        <w:ind w:firstLine="720"/>
        <w:jc w:val="both"/>
        <w:rPr>
          <w:rFonts w:ascii="Tahoma" w:hAnsi="Tahoma" w:cs="Tahoma"/>
        </w:rPr>
      </w:pPr>
      <w:r w:rsidRPr="000B4A67">
        <w:rPr>
          <w:rFonts w:ascii="Tahoma" w:hAnsi="Tahoma" w:cs="Tahoma"/>
        </w:rPr>
        <w:t>Существует две основные схемы контрактации с подрядчиками для строительных проектов Компании на стадиях «Инициирования» и «Планирования»:</w:t>
      </w:r>
    </w:p>
    <w:p w14:paraId="43834578" w14:textId="19ACD41F" w:rsidR="00C37C6C" w:rsidRPr="000B4A67" w:rsidRDefault="00C37C6C" w:rsidP="00F5358F">
      <w:pPr>
        <w:spacing w:after="120" w:line="240" w:lineRule="auto"/>
        <w:ind w:firstLine="709"/>
        <w:jc w:val="both"/>
        <w:rPr>
          <w:rFonts w:ascii="Tahoma" w:hAnsi="Tahoma" w:cs="Tahoma"/>
          <w:color w:val="000000" w:themeColor="text1"/>
        </w:rPr>
      </w:pPr>
      <w:r w:rsidRPr="000B4A67">
        <w:rPr>
          <w:rFonts w:ascii="Tahoma" w:hAnsi="Tahoma" w:cs="Tahoma"/>
          <w:color w:val="000000" w:themeColor="text1"/>
        </w:rPr>
        <w:t>1.</w:t>
      </w:r>
      <w:r w:rsidRPr="000B4A67">
        <w:rPr>
          <w:rFonts w:ascii="Tahoma" w:hAnsi="Tahoma" w:cs="Tahoma"/>
          <w:color w:val="000000" w:themeColor="text1"/>
        </w:rPr>
        <w:tab/>
      </w:r>
      <w:r w:rsidRPr="00B12A21">
        <w:rPr>
          <w:rFonts w:ascii="Tahoma" w:hAnsi="Tahoma" w:cs="Tahoma"/>
          <w:color w:val="000000" w:themeColor="text1"/>
        </w:rPr>
        <w:t>EPC-контракт</w:t>
      </w:r>
      <w:r w:rsidR="00CD3BCC">
        <w:rPr>
          <w:rFonts w:ascii="Tahoma" w:hAnsi="Tahoma" w:cs="Tahoma"/>
          <w:color w:val="000000" w:themeColor="text1"/>
        </w:rPr>
        <w:t xml:space="preserve"> (ЕРС)</w:t>
      </w:r>
      <w:r w:rsidRPr="000B4A67">
        <w:rPr>
          <w:rFonts w:ascii="Tahoma" w:hAnsi="Tahoma" w:cs="Tahoma"/>
          <w:color w:val="000000" w:themeColor="text1"/>
        </w:rPr>
        <w:t xml:space="preserve"> - Формирование ВОР и оценка капитальных затрат на проект </w:t>
      </w:r>
      <w:r w:rsidR="008D2F6E">
        <w:rPr>
          <w:rFonts w:ascii="Tahoma" w:hAnsi="Tahoma" w:cs="Tahoma"/>
          <w:color w:val="000000" w:themeColor="text1"/>
        </w:rPr>
        <w:t xml:space="preserve">в </w:t>
      </w:r>
      <w:r w:rsidR="00257A57">
        <w:rPr>
          <w:rFonts w:ascii="Tahoma" w:hAnsi="Tahoma" w:cs="Tahoma"/>
          <w:color w:val="000000" w:themeColor="text1"/>
        </w:rPr>
        <w:t>структуре</w:t>
      </w:r>
      <w:r w:rsidRPr="000B4A67">
        <w:rPr>
          <w:rFonts w:ascii="Tahoma" w:hAnsi="Tahoma" w:cs="Tahoma"/>
          <w:color w:val="000000" w:themeColor="text1"/>
        </w:rPr>
        <w:t xml:space="preserve"> УЕР EPC-подрядчиком (под ключ);</w:t>
      </w:r>
    </w:p>
    <w:p w14:paraId="1E0CD880" w14:textId="64A58865" w:rsidR="00C37C6C" w:rsidRPr="000B4A67" w:rsidRDefault="00C37C6C" w:rsidP="00F5358F">
      <w:pPr>
        <w:spacing w:after="120" w:line="240" w:lineRule="auto"/>
        <w:ind w:firstLine="709"/>
        <w:jc w:val="both"/>
        <w:rPr>
          <w:rFonts w:ascii="Tahoma" w:hAnsi="Tahoma" w:cs="Tahoma"/>
          <w:color w:val="000000" w:themeColor="text1"/>
        </w:rPr>
      </w:pPr>
      <w:r w:rsidRPr="000B4A67">
        <w:rPr>
          <w:rFonts w:ascii="Tahoma" w:hAnsi="Tahoma" w:cs="Tahoma"/>
          <w:color w:val="000000" w:themeColor="text1"/>
        </w:rPr>
        <w:t>2.</w:t>
      </w:r>
      <w:r w:rsidRPr="000B4A67">
        <w:rPr>
          <w:rFonts w:ascii="Tahoma" w:hAnsi="Tahoma" w:cs="Tahoma"/>
          <w:color w:val="000000" w:themeColor="text1"/>
        </w:rPr>
        <w:tab/>
      </w:r>
      <w:r w:rsidRPr="00B12A21">
        <w:rPr>
          <w:rFonts w:ascii="Tahoma" w:hAnsi="Tahoma" w:cs="Tahoma"/>
          <w:color w:val="000000" w:themeColor="text1"/>
        </w:rPr>
        <w:t>Мультилот</w:t>
      </w:r>
      <w:r w:rsidR="000C3A99">
        <w:rPr>
          <w:rFonts w:ascii="Tahoma" w:hAnsi="Tahoma" w:cs="Tahoma"/>
          <w:color w:val="000000" w:themeColor="text1"/>
        </w:rPr>
        <w:t>-модель</w:t>
      </w:r>
      <w:r w:rsidRPr="000B4A67">
        <w:rPr>
          <w:rFonts w:ascii="Tahoma" w:hAnsi="Tahoma" w:cs="Tahoma"/>
          <w:color w:val="000000" w:themeColor="text1"/>
        </w:rPr>
        <w:t xml:space="preserve">– разделение </w:t>
      </w:r>
      <w:r w:rsidR="006C2276">
        <w:rPr>
          <w:rFonts w:ascii="Tahoma" w:hAnsi="Tahoma" w:cs="Tahoma"/>
          <w:color w:val="000000" w:themeColor="text1"/>
        </w:rPr>
        <w:t>обязанностей</w:t>
      </w:r>
      <w:r w:rsidR="006C2276" w:rsidRPr="000B4A67">
        <w:rPr>
          <w:rFonts w:ascii="Tahoma" w:hAnsi="Tahoma" w:cs="Tahoma"/>
          <w:color w:val="000000" w:themeColor="text1"/>
        </w:rPr>
        <w:t xml:space="preserve"> </w:t>
      </w:r>
      <w:r w:rsidRPr="000B4A67">
        <w:rPr>
          <w:rFonts w:ascii="Tahoma" w:hAnsi="Tahoma" w:cs="Tahoma"/>
          <w:color w:val="000000" w:themeColor="text1"/>
        </w:rPr>
        <w:t xml:space="preserve">по формированию ВОР и оценке стоимости работ и МТР </w:t>
      </w:r>
      <w:r w:rsidR="008D2F6E">
        <w:rPr>
          <w:rFonts w:ascii="Tahoma" w:hAnsi="Tahoma" w:cs="Tahoma"/>
          <w:color w:val="000000" w:themeColor="text1"/>
        </w:rPr>
        <w:t xml:space="preserve">в </w:t>
      </w:r>
      <w:r w:rsidR="00257A57">
        <w:rPr>
          <w:rFonts w:ascii="Tahoma" w:hAnsi="Tahoma" w:cs="Tahoma"/>
          <w:color w:val="000000" w:themeColor="text1"/>
        </w:rPr>
        <w:t>структуре</w:t>
      </w:r>
      <w:r w:rsidRPr="000B4A67">
        <w:rPr>
          <w:rFonts w:ascii="Tahoma" w:hAnsi="Tahoma" w:cs="Tahoma"/>
          <w:color w:val="000000" w:themeColor="text1"/>
        </w:rPr>
        <w:t xml:space="preserve"> УЕР между участниками процесса проектирования (Заказчиком, Проектировщиком, С-подрядчиком).</w:t>
      </w:r>
    </w:p>
    <w:p w14:paraId="6CBD7D5C" w14:textId="584A7511" w:rsidR="00C37C6C" w:rsidRPr="000B4A67" w:rsidRDefault="00EB5B7A" w:rsidP="00B12A21">
      <w:pPr>
        <w:autoSpaceDE w:val="0"/>
        <w:autoSpaceDN w:val="0"/>
        <w:spacing w:after="0" w:line="240" w:lineRule="auto"/>
        <w:ind w:firstLine="720"/>
        <w:jc w:val="both"/>
        <w:rPr>
          <w:rFonts w:ascii="Tahoma" w:hAnsi="Tahoma" w:cs="Tahoma"/>
        </w:rPr>
      </w:pPr>
      <w:r w:rsidRPr="00B12A21">
        <w:rPr>
          <w:rFonts w:ascii="Tahoma" w:hAnsi="Tahoma" w:cs="Tahoma"/>
          <w:b/>
          <w:bCs/>
          <w:i/>
          <w:color w:val="000000" w:themeColor="text1"/>
        </w:rPr>
        <w:t>При схеме контрактации «ЕРС»</w:t>
      </w:r>
      <w:r w:rsidRPr="000B4A67" w:rsidDel="00EB5B7A">
        <w:rPr>
          <w:rFonts w:ascii="Tahoma" w:hAnsi="Tahoma" w:cs="Tahoma"/>
        </w:rPr>
        <w:t xml:space="preserve"> </w:t>
      </w:r>
      <w:r w:rsidR="00587869">
        <w:rPr>
          <w:rFonts w:ascii="Tahoma" w:hAnsi="Tahoma" w:cs="Tahoma"/>
        </w:rPr>
        <w:t>подрядчик</w:t>
      </w:r>
      <w:r w:rsidR="00C37C6C" w:rsidRPr="000B4A67">
        <w:rPr>
          <w:rFonts w:ascii="Tahoma" w:hAnsi="Tahoma" w:cs="Tahoma"/>
        </w:rPr>
        <w:t xml:space="preserve"> о</w:t>
      </w:r>
      <w:r w:rsidR="00587869">
        <w:rPr>
          <w:rFonts w:ascii="Tahoma" w:hAnsi="Tahoma" w:cs="Tahoma"/>
        </w:rPr>
        <w:t>бъединяет</w:t>
      </w:r>
      <w:r w:rsidR="00C37C6C" w:rsidRPr="000B4A67">
        <w:rPr>
          <w:rFonts w:ascii="Tahoma" w:hAnsi="Tahoma" w:cs="Tahoma"/>
        </w:rPr>
        <w:t xml:space="preserve"> в себе функции</w:t>
      </w:r>
      <w:r w:rsidR="00383302">
        <w:rPr>
          <w:rFonts w:ascii="Tahoma" w:hAnsi="Tahoma" w:cs="Tahoma"/>
        </w:rPr>
        <w:t xml:space="preserve"> проектировщика, исполнителя строительно-монтажных работ и поставщика МТР</w:t>
      </w:r>
      <w:r w:rsidR="00C37C6C" w:rsidRPr="000B4A67">
        <w:rPr>
          <w:rFonts w:ascii="Tahoma" w:hAnsi="Tahoma" w:cs="Tahoma"/>
        </w:rPr>
        <w:t xml:space="preserve"> и выполняет полный комплекс работ по формированию ВОР и оценке бюджета с применением </w:t>
      </w:r>
      <w:r w:rsidR="00257A57">
        <w:rPr>
          <w:rFonts w:ascii="Tahoma" w:hAnsi="Tahoma" w:cs="Tahoma"/>
        </w:rPr>
        <w:t>структуры</w:t>
      </w:r>
      <w:r w:rsidR="008D2F6E" w:rsidRPr="000B4A67">
        <w:rPr>
          <w:rFonts w:ascii="Tahoma" w:hAnsi="Tahoma" w:cs="Tahoma"/>
        </w:rPr>
        <w:t xml:space="preserve"> </w:t>
      </w:r>
      <w:r w:rsidR="00C37C6C" w:rsidRPr="000B4A67">
        <w:rPr>
          <w:rFonts w:ascii="Tahoma" w:hAnsi="Tahoma" w:cs="Tahoma"/>
        </w:rPr>
        <w:t>УЕР на всех стадиях проекта (ОТР, ПД и РД).</w:t>
      </w:r>
    </w:p>
    <w:p w14:paraId="3C7F2E21" w14:textId="73A683FB" w:rsidR="00C37C6C" w:rsidRPr="000B4A67" w:rsidRDefault="00383302" w:rsidP="00C37C6C">
      <w:pPr>
        <w:autoSpaceDE w:val="0"/>
        <w:autoSpaceDN w:val="0"/>
        <w:spacing w:before="120" w:after="0" w:line="240" w:lineRule="auto"/>
        <w:ind w:firstLine="720"/>
        <w:jc w:val="both"/>
        <w:rPr>
          <w:rFonts w:ascii="Tahoma" w:hAnsi="Tahoma" w:cs="Tahoma"/>
        </w:rPr>
      </w:pPr>
      <w:r>
        <w:rPr>
          <w:rFonts w:ascii="Tahoma" w:hAnsi="Tahoma" w:cs="Tahoma"/>
        </w:rPr>
        <w:t>По итогам</w:t>
      </w:r>
      <w:r w:rsidR="00C37C6C" w:rsidRPr="000B4A67">
        <w:rPr>
          <w:rFonts w:ascii="Tahoma" w:hAnsi="Tahoma" w:cs="Tahoma"/>
        </w:rPr>
        <w:t xml:space="preserve"> закупочной процедуры EPC-подрядчик</w:t>
      </w:r>
      <w:r>
        <w:rPr>
          <w:rFonts w:ascii="Tahoma" w:hAnsi="Tahoma" w:cs="Tahoma"/>
        </w:rPr>
        <w:t xml:space="preserve"> получает полный пакет документации, необходимой для оценки стоимости проекта капитального строительства:</w:t>
      </w:r>
    </w:p>
    <w:p w14:paraId="76197DA1" w14:textId="2470C93C" w:rsidR="00C37C6C" w:rsidRPr="000B4A67" w:rsidRDefault="00C37C6C" w:rsidP="00C37C6C">
      <w:pPr>
        <w:pStyle w:val="a3"/>
        <w:numPr>
          <w:ilvl w:val="0"/>
          <w:numId w:val="4"/>
        </w:numPr>
        <w:tabs>
          <w:tab w:val="num" w:pos="3297"/>
        </w:tabs>
        <w:spacing w:after="160" w:line="259" w:lineRule="auto"/>
        <w:ind w:left="709"/>
        <w:rPr>
          <w:rFonts w:cs="Tahoma"/>
          <w:szCs w:val="22"/>
          <w:lang w:val="ru-RU"/>
        </w:rPr>
      </w:pPr>
      <w:r w:rsidRPr="000B4A67">
        <w:rPr>
          <w:rFonts w:cs="Tahoma"/>
          <w:szCs w:val="22"/>
          <w:lang w:val="ru-RU"/>
        </w:rPr>
        <w:t>Перечень</w:t>
      </w:r>
      <w:r w:rsidR="004468CA">
        <w:rPr>
          <w:rFonts w:cs="Tahoma"/>
          <w:szCs w:val="22"/>
          <w:lang w:val="ru-RU"/>
        </w:rPr>
        <w:t>, описание и техническую часть</w:t>
      </w:r>
      <w:r w:rsidR="000C3A99">
        <w:rPr>
          <w:rFonts w:cs="Tahoma"/>
          <w:szCs w:val="22"/>
          <w:lang w:val="ru-RU"/>
        </w:rPr>
        <w:t xml:space="preserve"> к</w:t>
      </w:r>
      <w:r w:rsidR="000C3A99" w:rsidRPr="000B4A67">
        <w:rPr>
          <w:rFonts w:cs="Tahoma"/>
          <w:szCs w:val="22"/>
          <w:lang w:val="ru-RU"/>
        </w:rPr>
        <w:t xml:space="preserve"> УЕР</w:t>
      </w:r>
      <w:r w:rsidR="004468CA">
        <w:rPr>
          <w:rFonts w:cs="Tahoma"/>
          <w:szCs w:val="22"/>
          <w:lang w:val="ru-RU"/>
        </w:rPr>
        <w:t>, величину</w:t>
      </w:r>
      <w:r w:rsidRPr="000B4A67">
        <w:rPr>
          <w:rFonts w:cs="Tahoma"/>
          <w:szCs w:val="22"/>
          <w:lang w:val="ru-RU"/>
        </w:rPr>
        <w:t xml:space="preserve"> укрупненных единичных расценок (УЕР)</w:t>
      </w:r>
      <w:r w:rsidR="004468CA">
        <w:rPr>
          <w:rFonts w:cs="Tahoma"/>
          <w:szCs w:val="22"/>
          <w:lang w:val="ru-RU"/>
        </w:rPr>
        <w:t xml:space="preserve"> (в блоке приложений по ценообразованию к договору ЕРС-подряда)</w:t>
      </w:r>
      <w:r w:rsidRPr="000B4A67">
        <w:rPr>
          <w:rFonts w:cs="Tahoma"/>
          <w:szCs w:val="22"/>
          <w:lang w:val="ru-RU"/>
        </w:rPr>
        <w:t>;</w:t>
      </w:r>
    </w:p>
    <w:p w14:paraId="4679D699" w14:textId="0B5805DF" w:rsidR="00C37C6C" w:rsidRPr="000C3A99" w:rsidRDefault="004468CA">
      <w:pPr>
        <w:pStyle w:val="a3"/>
        <w:numPr>
          <w:ilvl w:val="0"/>
          <w:numId w:val="4"/>
        </w:numPr>
        <w:tabs>
          <w:tab w:val="num" w:pos="3297"/>
        </w:tabs>
        <w:spacing w:after="160" w:line="259" w:lineRule="auto"/>
        <w:ind w:left="709"/>
        <w:rPr>
          <w:rFonts w:cs="Tahoma"/>
          <w:szCs w:val="22"/>
          <w:lang w:val="ru-RU"/>
        </w:rPr>
      </w:pPr>
      <w:r w:rsidRPr="000C3A99">
        <w:rPr>
          <w:rFonts w:cs="Tahoma"/>
          <w:szCs w:val="22"/>
          <w:lang w:val="ru-RU"/>
        </w:rPr>
        <w:t xml:space="preserve">Правила определения цен на материально-технические ресурсы </w:t>
      </w:r>
      <w:r w:rsidR="00C37C6C" w:rsidRPr="000C3A99">
        <w:rPr>
          <w:rFonts w:cs="Tahoma"/>
          <w:szCs w:val="22"/>
          <w:lang w:val="ru-RU"/>
        </w:rPr>
        <w:t>Типовые требования к формированию ведомостей объемов работ и оценке капитальных вложений в УЕР для EPC-подрядчика</w:t>
      </w:r>
      <w:r w:rsidR="00587869" w:rsidRPr="000C3A99">
        <w:rPr>
          <w:rFonts w:cs="Tahoma"/>
          <w:szCs w:val="22"/>
          <w:lang w:val="ru-RU"/>
        </w:rPr>
        <w:t xml:space="preserve"> на всех стадиях проектирования</w:t>
      </w:r>
      <w:r w:rsidR="009C6B66">
        <w:rPr>
          <w:rFonts w:cs="Tahoma"/>
          <w:szCs w:val="22"/>
          <w:lang w:val="ru-RU"/>
        </w:rPr>
        <w:t>;</w:t>
      </w:r>
    </w:p>
    <w:p w14:paraId="68A2E07F" w14:textId="6F4FB90C" w:rsidR="004468CA" w:rsidRPr="00B12A21" w:rsidRDefault="000C3A99" w:rsidP="00F33B0C">
      <w:pPr>
        <w:pStyle w:val="a3"/>
        <w:numPr>
          <w:ilvl w:val="0"/>
          <w:numId w:val="4"/>
        </w:numPr>
        <w:spacing w:after="160" w:line="259" w:lineRule="auto"/>
        <w:rPr>
          <w:rFonts w:cs="Tahoma"/>
          <w:szCs w:val="22"/>
          <w:lang w:val="ru-RU"/>
        </w:rPr>
      </w:pPr>
      <w:r w:rsidRPr="000C3A99">
        <w:rPr>
          <w:rFonts w:cs="Tahoma"/>
          <w:szCs w:val="22"/>
          <w:lang w:val="ru-RU"/>
        </w:rPr>
        <w:t>Рекомендаций по применению прочих затрат, не вошедших в состав УЕР при формировании ССР для проектов строительства наземного комплекса с учетом особенностей применения проектов горнорудного комплекса, и газоэнергетической отрасли (НПР) (письмо № ГМК/20896 – исх от 05.10.2021г.</w:t>
      </w:r>
      <w:r w:rsidR="00F33B0C">
        <w:rPr>
          <w:rFonts w:cs="Tahoma"/>
          <w:szCs w:val="22"/>
          <w:lang w:val="ru-RU"/>
        </w:rPr>
        <w:t>, служебная записка № ГМК_05/</w:t>
      </w:r>
      <w:r w:rsidR="00F33B0C" w:rsidRPr="00F33B0C">
        <w:rPr>
          <w:rFonts w:cs="Tahoma"/>
          <w:szCs w:val="22"/>
          <w:lang w:val="ru-RU"/>
        </w:rPr>
        <w:t>171 от 04.10.2021</w:t>
      </w:r>
      <w:r w:rsidR="00F33B0C">
        <w:rPr>
          <w:rFonts w:cs="Tahoma"/>
          <w:szCs w:val="22"/>
          <w:lang w:val="ru-RU"/>
        </w:rPr>
        <w:t>г.</w:t>
      </w:r>
      <w:r w:rsidRPr="000C3A99">
        <w:rPr>
          <w:rFonts w:cs="Tahoma"/>
          <w:szCs w:val="22"/>
          <w:lang w:val="ru-RU"/>
        </w:rPr>
        <w:t>)</w:t>
      </w:r>
      <w:r w:rsidR="009C6B66">
        <w:rPr>
          <w:rFonts w:cs="Tahoma"/>
          <w:szCs w:val="22"/>
          <w:lang w:val="ru-RU"/>
        </w:rPr>
        <w:t>;</w:t>
      </w:r>
    </w:p>
    <w:p w14:paraId="01DBDEDB" w14:textId="321AC5F6" w:rsidR="00C81FB3" w:rsidRPr="000B4A67" w:rsidRDefault="00C81FB3" w:rsidP="00C37C6C">
      <w:pPr>
        <w:pStyle w:val="a3"/>
        <w:numPr>
          <w:ilvl w:val="0"/>
          <w:numId w:val="4"/>
        </w:numPr>
        <w:tabs>
          <w:tab w:val="num" w:pos="3297"/>
        </w:tabs>
        <w:spacing w:after="160" w:line="259" w:lineRule="auto"/>
        <w:ind w:left="709"/>
        <w:rPr>
          <w:rFonts w:cs="Tahoma"/>
          <w:szCs w:val="22"/>
          <w:lang w:val="ru-RU"/>
        </w:rPr>
      </w:pPr>
      <w:r>
        <w:rPr>
          <w:rFonts w:cs="Tahoma"/>
          <w:szCs w:val="22"/>
          <w:lang w:val="ru-RU"/>
        </w:rPr>
        <w:t>И</w:t>
      </w:r>
      <w:r w:rsidR="00B44804">
        <w:rPr>
          <w:rFonts w:cs="Tahoma"/>
          <w:szCs w:val="22"/>
          <w:lang w:val="ru-RU"/>
        </w:rPr>
        <w:t>ные документы, необходимые для формирования ВОР, сметной документации и ССР</w:t>
      </w:r>
      <w:r w:rsidR="009C6B66">
        <w:rPr>
          <w:rFonts w:cs="Tahoma"/>
          <w:szCs w:val="22"/>
          <w:lang w:val="ru-RU"/>
        </w:rPr>
        <w:t>.</w:t>
      </w:r>
    </w:p>
    <w:p w14:paraId="3C414FE5" w14:textId="50C48664" w:rsidR="00C37C6C" w:rsidRPr="000B4A67" w:rsidRDefault="00C37C6C" w:rsidP="00B12A21">
      <w:pPr>
        <w:autoSpaceDE w:val="0"/>
        <w:autoSpaceDN w:val="0"/>
        <w:spacing w:before="120" w:after="240" w:line="240" w:lineRule="auto"/>
        <w:ind w:firstLine="720"/>
        <w:jc w:val="both"/>
        <w:rPr>
          <w:rFonts w:ascii="Tahoma" w:hAnsi="Tahoma" w:cs="Tahoma"/>
        </w:rPr>
      </w:pPr>
      <w:r w:rsidRPr="000B4A67">
        <w:rPr>
          <w:rFonts w:ascii="Tahoma" w:hAnsi="Tahoma" w:cs="Tahoma"/>
        </w:rPr>
        <w:t>На основании полученных документов EPC-подрядчик формирует стоимость капитального строительства проекта по мере проработки и уточнения</w:t>
      </w:r>
      <w:r w:rsidR="00B44804">
        <w:rPr>
          <w:rFonts w:ascii="Tahoma" w:hAnsi="Tahoma" w:cs="Tahoma"/>
        </w:rPr>
        <w:t xml:space="preserve"> им</w:t>
      </w:r>
      <w:r w:rsidRPr="000B4A67">
        <w:rPr>
          <w:rFonts w:ascii="Tahoma" w:hAnsi="Tahoma" w:cs="Tahoma"/>
        </w:rPr>
        <w:t xml:space="preserve"> проектных решений. </w:t>
      </w:r>
    </w:p>
    <w:p w14:paraId="56FD5EFE" w14:textId="3670AEC3" w:rsidR="00222CF6" w:rsidRDefault="00C37C6C">
      <w:pPr>
        <w:autoSpaceDE w:val="0"/>
        <w:autoSpaceDN w:val="0"/>
        <w:spacing w:before="120" w:after="0" w:line="240" w:lineRule="auto"/>
        <w:ind w:firstLine="720"/>
        <w:jc w:val="both"/>
        <w:rPr>
          <w:rFonts w:ascii="Tahoma" w:hAnsi="Tahoma" w:cs="Tahoma"/>
        </w:rPr>
      </w:pPr>
      <w:r w:rsidRPr="00B12A21">
        <w:rPr>
          <w:rFonts w:ascii="Tahoma" w:hAnsi="Tahoma" w:cs="Tahoma"/>
          <w:b/>
          <w:i/>
        </w:rPr>
        <w:lastRenderedPageBreak/>
        <w:t xml:space="preserve">При схеме контрактации </w:t>
      </w:r>
      <w:r w:rsidR="00A15569" w:rsidRPr="00B12A21">
        <w:rPr>
          <w:rFonts w:ascii="Tahoma" w:hAnsi="Tahoma" w:cs="Tahoma"/>
          <w:b/>
          <w:i/>
        </w:rPr>
        <w:t>«мультилот</w:t>
      </w:r>
      <w:r w:rsidR="000C3A99">
        <w:rPr>
          <w:rFonts w:ascii="Tahoma" w:hAnsi="Tahoma" w:cs="Tahoma"/>
          <w:b/>
          <w:i/>
        </w:rPr>
        <w:t>-модель</w:t>
      </w:r>
      <w:r w:rsidR="00A15569" w:rsidRPr="00B12A21">
        <w:rPr>
          <w:rFonts w:ascii="Tahoma" w:hAnsi="Tahoma" w:cs="Tahoma"/>
          <w:b/>
          <w:i/>
        </w:rPr>
        <w:t>»</w:t>
      </w:r>
      <w:r w:rsidR="00A15569">
        <w:rPr>
          <w:rFonts w:ascii="Tahoma" w:hAnsi="Tahoma" w:cs="Tahoma"/>
        </w:rPr>
        <w:t xml:space="preserve"> </w:t>
      </w:r>
      <w:r w:rsidR="00222CF6">
        <w:rPr>
          <w:rFonts w:ascii="Tahoma" w:hAnsi="Tahoma" w:cs="Tahoma"/>
        </w:rPr>
        <w:t xml:space="preserve">на каждом из этапов проектирования </w:t>
      </w:r>
      <w:r w:rsidRPr="000B4A67">
        <w:rPr>
          <w:rFonts w:ascii="Tahoma" w:hAnsi="Tahoma" w:cs="Tahoma"/>
        </w:rPr>
        <w:t xml:space="preserve">формирование ВОР </w:t>
      </w:r>
      <w:r w:rsidR="00222CF6">
        <w:rPr>
          <w:rFonts w:ascii="Tahoma" w:hAnsi="Tahoma" w:cs="Tahoma"/>
        </w:rPr>
        <w:t xml:space="preserve">и оценка стоимости в УЕР делится на две логические стадии. Это вызвано действующими </w:t>
      </w:r>
      <w:r w:rsidR="00222CF6" w:rsidRPr="00C37C6C">
        <w:rPr>
          <w:rFonts w:ascii="Tahoma" w:hAnsi="Tahoma" w:cs="Tahoma"/>
        </w:rPr>
        <w:t>ограничения</w:t>
      </w:r>
      <w:r w:rsidR="00222CF6">
        <w:rPr>
          <w:rFonts w:ascii="Tahoma" w:hAnsi="Tahoma" w:cs="Tahoma"/>
        </w:rPr>
        <w:t>ми</w:t>
      </w:r>
      <w:r w:rsidR="00222CF6" w:rsidRPr="00C37C6C">
        <w:rPr>
          <w:rFonts w:ascii="Tahoma" w:hAnsi="Tahoma" w:cs="Tahoma"/>
        </w:rPr>
        <w:t xml:space="preserve"> на доступ к </w:t>
      </w:r>
      <w:r w:rsidR="00222CF6">
        <w:rPr>
          <w:rFonts w:ascii="Tahoma" w:hAnsi="Tahoma" w:cs="Tahoma"/>
        </w:rPr>
        <w:t xml:space="preserve">бенчмарку </w:t>
      </w:r>
      <w:r w:rsidR="00222CF6" w:rsidRPr="00C37C6C">
        <w:rPr>
          <w:rFonts w:ascii="Tahoma" w:hAnsi="Tahoma" w:cs="Tahoma"/>
        </w:rPr>
        <w:t>рыночны</w:t>
      </w:r>
      <w:r w:rsidR="00222CF6">
        <w:rPr>
          <w:rFonts w:ascii="Tahoma" w:hAnsi="Tahoma" w:cs="Tahoma"/>
        </w:rPr>
        <w:t>х</w:t>
      </w:r>
      <w:r w:rsidR="00222CF6" w:rsidRPr="00C37C6C">
        <w:rPr>
          <w:rFonts w:ascii="Tahoma" w:hAnsi="Tahoma" w:cs="Tahoma"/>
        </w:rPr>
        <w:t xml:space="preserve"> цен </w:t>
      </w:r>
      <w:r w:rsidR="00222CF6">
        <w:rPr>
          <w:rFonts w:ascii="Tahoma" w:hAnsi="Tahoma" w:cs="Tahoma"/>
        </w:rPr>
        <w:t xml:space="preserve">на </w:t>
      </w:r>
      <w:r w:rsidR="00222CF6" w:rsidRPr="00C37C6C">
        <w:rPr>
          <w:rFonts w:ascii="Tahoma" w:hAnsi="Tahoma" w:cs="Tahoma"/>
        </w:rPr>
        <w:t>строительно-монтажны</w:t>
      </w:r>
      <w:r w:rsidR="00222CF6">
        <w:rPr>
          <w:rFonts w:ascii="Tahoma" w:hAnsi="Tahoma" w:cs="Tahoma"/>
        </w:rPr>
        <w:t>е</w:t>
      </w:r>
      <w:r w:rsidR="00222CF6" w:rsidRPr="00C37C6C">
        <w:rPr>
          <w:rFonts w:ascii="Tahoma" w:hAnsi="Tahoma" w:cs="Tahoma"/>
        </w:rPr>
        <w:t xml:space="preserve"> работ</w:t>
      </w:r>
      <w:r w:rsidR="00222CF6">
        <w:rPr>
          <w:rFonts w:ascii="Tahoma" w:hAnsi="Tahoma" w:cs="Tahoma"/>
        </w:rPr>
        <w:t>ы внешним контрагентам по причине отражения бенчмарком уровня цен</w:t>
      </w:r>
      <w:r w:rsidR="00222CF6" w:rsidRPr="000B4A67">
        <w:rPr>
          <w:rFonts w:ascii="Tahoma" w:hAnsi="Tahoma" w:cs="Tahoma"/>
        </w:rPr>
        <w:t xml:space="preserve"> по фактически зак</w:t>
      </w:r>
      <w:r w:rsidR="00222CF6">
        <w:rPr>
          <w:rFonts w:ascii="Tahoma" w:hAnsi="Tahoma" w:cs="Tahoma"/>
        </w:rPr>
        <w:t>люченным Заказчиком контрактам</w:t>
      </w:r>
      <w:r w:rsidR="00222CF6" w:rsidRPr="000B4A67">
        <w:rPr>
          <w:rFonts w:ascii="Tahoma" w:hAnsi="Tahoma" w:cs="Tahoma"/>
        </w:rPr>
        <w:t>.</w:t>
      </w:r>
      <w:r w:rsidR="00222CF6">
        <w:rPr>
          <w:rFonts w:ascii="Tahoma" w:hAnsi="Tahoma" w:cs="Tahoma"/>
        </w:rPr>
        <w:t xml:space="preserve"> Передача таких данных за пределы Компании и РОКС НН может негативно сказываться на конкурентной среде в ходе закупочных процедур генподряда/ЕРС-подряда.</w:t>
      </w:r>
      <w:r w:rsidR="00222CF6" w:rsidRPr="000B4A67">
        <w:rPr>
          <w:rFonts w:ascii="Tahoma" w:hAnsi="Tahoma" w:cs="Tahoma"/>
        </w:rPr>
        <w:t xml:space="preserve"> </w:t>
      </w:r>
      <w:r w:rsidR="00222CF6">
        <w:rPr>
          <w:rFonts w:ascii="Tahoma" w:hAnsi="Tahoma" w:cs="Tahoma"/>
        </w:rPr>
        <w:t>В связи с этим соответствующие операции по выполнению расчетов стоимости проектов капитального строительства могут быть выполнены только Заказчиком или РОКС НН, например, отраслевым проектным институтом ООО «Институт «Гипроникель», одно из подразделений которого является оператором базы УЕР.</w:t>
      </w:r>
    </w:p>
    <w:p w14:paraId="6FA209C1" w14:textId="7A4DEE4B" w:rsidR="00222CF6" w:rsidRPr="002E3639" w:rsidRDefault="00222CF6" w:rsidP="00C37C6C">
      <w:pPr>
        <w:autoSpaceDE w:val="0"/>
        <w:autoSpaceDN w:val="0"/>
        <w:spacing w:before="120" w:after="0" w:line="240" w:lineRule="auto"/>
        <w:ind w:firstLine="720"/>
        <w:jc w:val="both"/>
        <w:rPr>
          <w:rFonts w:ascii="Tahoma" w:hAnsi="Tahoma" w:cs="Tahoma"/>
        </w:rPr>
      </w:pPr>
      <w:r>
        <w:rPr>
          <w:rFonts w:ascii="Tahoma" w:hAnsi="Tahoma" w:cs="Tahoma"/>
        </w:rPr>
        <w:t xml:space="preserve">Формирование ВОР </w:t>
      </w:r>
      <w:r w:rsidR="00C37C6C" w:rsidRPr="000B4A67">
        <w:rPr>
          <w:rFonts w:ascii="Tahoma" w:hAnsi="Tahoma" w:cs="Tahoma"/>
        </w:rPr>
        <w:t>на всех стадиях реализации строительного проекта осуществля</w:t>
      </w:r>
      <w:r w:rsidR="009E6333">
        <w:rPr>
          <w:rFonts w:ascii="Tahoma" w:hAnsi="Tahoma" w:cs="Tahoma"/>
        </w:rPr>
        <w:t>е</w:t>
      </w:r>
      <w:r w:rsidR="00C37C6C" w:rsidRPr="000B4A67">
        <w:rPr>
          <w:rFonts w:ascii="Tahoma" w:hAnsi="Tahoma" w:cs="Tahoma"/>
        </w:rPr>
        <w:t>тся</w:t>
      </w:r>
      <w:r w:rsidR="009E6333">
        <w:rPr>
          <w:rFonts w:ascii="Tahoma" w:hAnsi="Tahoma" w:cs="Tahoma"/>
        </w:rPr>
        <w:t xml:space="preserve">, как правило, проектными </w:t>
      </w:r>
      <w:r w:rsidR="007763CD">
        <w:rPr>
          <w:rFonts w:ascii="Tahoma" w:hAnsi="Tahoma" w:cs="Tahoma"/>
        </w:rPr>
        <w:t xml:space="preserve">организациями </w:t>
      </w:r>
      <w:r w:rsidR="009E6333">
        <w:rPr>
          <w:rFonts w:ascii="Tahoma" w:hAnsi="Tahoma" w:cs="Tahoma"/>
        </w:rPr>
        <w:t xml:space="preserve">(как являющимися РОКС НН, так и не входящими в структуру Компании), </w:t>
      </w:r>
      <w:r w:rsidR="00E50C65">
        <w:rPr>
          <w:rFonts w:ascii="Tahoma" w:hAnsi="Tahoma" w:cs="Tahoma"/>
        </w:rPr>
        <w:t>либо</w:t>
      </w:r>
      <w:r w:rsidR="009E6333">
        <w:rPr>
          <w:rFonts w:ascii="Tahoma" w:hAnsi="Tahoma" w:cs="Tahoma"/>
        </w:rPr>
        <w:t xml:space="preserve"> силами проектного офиса Заказчика</w:t>
      </w:r>
      <w:r>
        <w:rPr>
          <w:rFonts w:ascii="Tahoma" w:hAnsi="Tahoma" w:cs="Tahoma"/>
        </w:rPr>
        <w:t xml:space="preserve"> или силами строительного подрядчика (если в рамках договора строительного подряда ему передана эта функция на стадии РД)</w:t>
      </w:r>
      <w:r w:rsidR="009E6333">
        <w:rPr>
          <w:rFonts w:ascii="Tahoma" w:hAnsi="Tahoma" w:cs="Tahoma"/>
        </w:rPr>
        <w:t>.</w:t>
      </w:r>
      <w:r w:rsidR="00C37C6C" w:rsidRPr="000B4A67">
        <w:rPr>
          <w:rFonts w:ascii="Tahoma" w:hAnsi="Tahoma" w:cs="Tahoma"/>
        </w:rPr>
        <w:t xml:space="preserve"> </w:t>
      </w:r>
      <w:r w:rsidR="002E3639">
        <w:rPr>
          <w:rFonts w:ascii="Tahoma" w:hAnsi="Tahoma" w:cs="Tahoma"/>
        </w:rPr>
        <w:t>ВОР</w:t>
      </w:r>
      <w:r w:rsidR="00E50C65">
        <w:rPr>
          <w:rFonts w:ascii="Tahoma" w:hAnsi="Tahoma" w:cs="Tahoma"/>
        </w:rPr>
        <w:t xml:space="preserve"> формируется</w:t>
      </w:r>
      <w:r w:rsidR="002E3639">
        <w:rPr>
          <w:rFonts w:ascii="Tahoma" w:hAnsi="Tahoma" w:cs="Tahoma"/>
        </w:rPr>
        <w:t xml:space="preserve"> в формате </w:t>
      </w:r>
      <w:r w:rsidR="002E3639">
        <w:rPr>
          <w:rFonts w:ascii="Tahoma" w:hAnsi="Tahoma" w:cs="Tahoma"/>
          <w:lang w:val="en-US"/>
        </w:rPr>
        <w:t>MS</w:t>
      </w:r>
      <w:r w:rsidR="002E3639" w:rsidRPr="00B12A21">
        <w:rPr>
          <w:rFonts w:ascii="Tahoma" w:hAnsi="Tahoma" w:cs="Tahoma"/>
        </w:rPr>
        <w:t xml:space="preserve"> </w:t>
      </w:r>
      <w:r w:rsidR="002E3639">
        <w:rPr>
          <w:rFonts w:ascii="Tahoma" w:hAnsi="Tahoma" w:cs="Tahoma"/>
          <w:lang w:val="en-US"/>
        </w:rPr>
        <w:t>Excel</w:t>
      </w:r>
      <w:r w:rsidR="002E3639" w:rsidRPr="00B12A21">
        <w:rPr>
          <w:rFonts w:ascii="Tahoma" w:hAnsi="Tahoma" w:cs="Tahoma"/>
        </w:rPr>
        <w:t xml:space="preserve"> </w:t>
      </w:r>
      <w:r w:rsidR="002E3639">
        <w:rPr>
          <w:rFonts w:ascii="Tahoma" w:hAnsi="Tahoma" w:cs="Tahoma"/>
        </w:rPr>
        <w:t>и в формате ПО «Гранд-смета».</w:t>
      </w:r>
    </w:p>
    <w:p w14:paraId="259E5A16" w14:textId="2DFCD33B" w:rsidR="002E3639" w:rsidRDefault="002E3639" w:rsidP="00C37C6C">
      <w:pPr>
        <w:autoSpaceDE w:val="0"/>
        <w:autoSpaceDN w:val="0"/>
        <w:spacing w:before="120" w:after="0" w:line="240" w:lineRule="auto"/>
        <w:ind w:firstLine="720"/>
        <w:jc w:val="both"/>
        <w:rPr>
          <w:rFonts w:ascii="Tahoma" w:hAnsi="Tahoma" w:cs="Tahoma"/>
        </w:rPr>
      </w:pPr>
      <w:r>
        <w:rPr>
          <w:rFonts w:ascii="Tahoma" w:hAnsi="Tahoma" w:cs="Tahoma"/>
        </w:rPr>
        <w:t>Функция мониторинга текущих рыночных цен на МТР и интеграции этих цен в сметные расчеты также может быть передана проектно</w:t>
      </w:r>
      <w:r w:rsidR="00210AFE">
        <w:rPr>
          <w:rFonts w:ascii="Tahoma" w:hAnsi="Tahoma" w:cs="Tahoma"/>
        </w:rPr>
        <w:t>й организации</w:t>
      </w:r>
      <w:r w:rsidR="009C6B66">
        <w:rPr>
          <w:rFonts w:ascii="Tahoma" w:hAnsi="Tahoma" w:cs="Tahoma"/>
        </w:rPr>
        <w:t xml:space="preserve"> (как являющимися РОКС НН, так и не входящими в структуру Компании)</w:t>
      </w:r>
      <w:r>
        <w:rPr>
          <w:rFonts w:ascii="Tahoma" w:hAnsi="Tahoma" w:cs="Tahoma"/>
        </w:rPr>
        <w:t>.</w:t>
      </w:r>
    </w:p>
    <w:p w14:paraId="667DDB28" w14:textId="7AB2FEE6" w:rsidR="002E3639" w:rsidRDefault="002E3639" w:rsidP="00C37C6C">
      <w:pPr>
        <w:autoSpaceDE w:val="0"/>
        <w:autoSpaceDN w:val="0"/>
        <w:spacing w:before="120" w:after="0" w:line="240" w:lineRule="auto"/>
        <w:ind w:firstLine="720"/>
        <w:jc w:val="both"/>
        <w:rPr>
          <w:rFonts w:ascii="Tahoma" w:hAnsi="Tahoma" w:cs="Tahoma"/>
        </w:rPr>
      </w:pPr>
      <w:r>
        <w:rPr>
          <w:rFonts w:ascii="Tahoma" w:hAnsi="Tahoma" w:cs="Tahoma"/>
        </w:rPr>
        <w:t>Выполнение расчета стоимости СМР не может быть выполнено в</w:t>
      </w:r>
      <w:r w:rsidR="00EB5B7A">
        <w:rPr>
          <w:rFonts w:ascii="Tahoma" w:hAnsi="Tahoma" w:cs="Tahoma"/>
        </w:rPr>
        <w:t>нешним проектировщиком из-за описанного</w:t>
      </w:r>
      <w:r w:rsidR="00210AFE">
        <w:rPr>
          <w:rFonts w:ascii="Tahoma" w:hAnsi="Tahoma" w:cs="Tahoma"/>
        </w:rPr>
        <w:t xml:space="preserve"> </w:t>
      </w:r>
      <w:r w:rsidR="009C6B66">
        <w:rPr>
          <w:rFonts w:ascii="Tahoma" w:hAnsi="Tahoma" w:cs="Tahoma"/>
        </w:rPr>
        <w:t xml:space="preserve">выше </w:t>
      </w:r>
      <w:r w:rsidR="00EB5B7A">
        <w:rPr>
          <w:rFonts w:ascii="Tahoma" w:hAnsi="Tahoma" w:cs="Tahoma"/>
        </w:rPr>
        <w:t xml:space="preserve">ограничения по передаче </w:t>
      </w:r>
      <w:r w:rsidR="009C6B66" w:rsidRPr="009C6B66">
        <w:rPr>
          <w:rFonts w:ascii="Tahoma" w:hAnsi="Tahoma" w:cs="Tahoma"/>
        </w:rPr>
        <w:t xml:space="preserve">данных </w:t>
      </w:r>
      <w:r w:rsidR="00EB5B7A">
        <w:rPr>
          <w:rFonts w:ascii="Tahoma" w:hAnsi="Tahoma" w:cs="Tahoma"/>
        </w:rPr>
        <w:t>о ценах на СМР. Соответственно, не может быть выполнен внешним проектировщиком и расчет прочих затрат</w:t>
      </w:r>
      <w:r w:rsidR="00210AFE">
        <w:rPr>
          <w:rFonts w:ascii="Tahoma" w:hAnsi="Tahoma" w:cs="Tahoma"/>
        </w:rPr>
        <w:t>, порядок величины которых</w:t>
      </w:r>
      <w:r w:rsidR="00EB5B7A">
        <w:rPr>
          <w:rFonts w:ascii="Tahoma" w:hAnsi="Tahoma" w:cs="Tahoma"/>
        </w:rPr>
        <w:t xml:space="preserve"> основан на применении процентного норматива к стоимости по главам 1-7 или по главам 1-8 сводного сметного расчета, включающей и стоимость СМР.</w:t>
      </w:r>
    </w:p>
    <w:p w14:paraId="00985670" w14:textId="2C2B4EA7" w:rsidR="00741F7B" w:rsidRDefault="00EB5B7A">
      <w:pPr>
        <w:autoSpaceDE w:val="0"/>
        <w:autoSpaceDN w:val="0"/>
        <w:spacing w:before="120" w:after="0" w:line="240" w:lineRule="auto"/>
        <w:ind w:firstLine="720"/>
        <w:jc w:val="both"/>
        <w:rPr>
          <w:rFonts w:ascii="Tahoma" w:hAnsi="Tahoma" w:cs="Tahoma"/>
        </w:rPr>
      </w:pPr>
      <w:r>
        <w:rPr>
          <w:rFonts w:ascii="Tahoma" w:hAnsi="Tahoma" w:cs="Tahoma"/>
        </w:rPr>
        <w:t>Таким образом, расчет полной стоимости</w:t>
      </w:r>
      <w:r w:rsidR="00741F7B">
        <w:rPr>
          <w:rFonts w:ascii="Tahoma" w:hAnsi="Tahoma" w:cs="Tahoma"/>
        </w:rPr>
        <w:t xml:space="preserve"> проекта капитального строительства (включая не оцениваемую внешним проектировщиком стоимость СМР и величину прочих затрат)</w:t>
      </w:r>
      <w:r>
        <w:rPr>
          <w:rFonts w:ascii="Tahoma" w:hAnsi="Tahoma" w:cs="Tahoma"/>
        </w:rPr>
        <w:t xml:space="preserve"> </w:t>
      </w:r>
      <w:r w:rsidR="00741F7B">
        <w:rPr>
          <w:rFonts w:ascii="Tahoma" w:hAnsi="Tahoma" w:cs="Tahoma"/>
        </w:rPr>
        <w:t xml:space="preserve">на основе разработанных внешним проектировщиком ВОР </w:t>
      </w:r>
      <w:r>
        <w:rPr>
          <w:rFonts w:ascii="Tahoma" w:hAnsi="Tahoma" w:cs="Tahoma"/>
        </w:rPr>
        <w:t xml:space="preserve">может быть выполнен </w:t>
      </w:r>
      <w:r w:rsidRPr="00B12A21">
        <w:rPr>
          <w:rFonts w:ascii="Tahoma" w:hAnsi="Tahoma" w:cs="Tahoma"/>
        </w:rPr>
        <w:t xml:space="preserve">проектным офисом Заказчика или отраслевым проектным институтом </w:t>
      </w:r>
      <w:r w:rsidR="009C6B66">
        <w:rPr>
          <w:rFonts w:ascii="Tahoma" w:hAnsi="Tahoma" w:cs="Tahoma"/>
        </w:rPr>
        <w:t>ООО «Институт «Гипроникель»</w:t>
      </w:r>
      <w:r w:rsidR="0031301D">
        <w:rPr>
          <w:rFonts w:ascii="Tahoma" w:hAnsi="Tahoma" w:cs="Tahoma"/>
        </w:rPr>
        <w:t>,</w:t>
      </w:r>
      <w:r w:rsidR="009C6B66">
        <w:rPr>
          <w:rFonts w:ascii="Tahoma" w:hAnsi="Tahoma" w:cs="Tahoma"/>
        </w:rPr>
        <w:t xml:space="preserve"> одно из подразделений которого является оператором базы УЕР.</w:t>
      </w:r>
      <w:r>
        <w:rPr>
          <w:rFonts w:ascii="Tahoma" w:hAnsi="Tahoma" w:cs="Tahoma"/>
        </w:rPr>
        <w:t xml:space="preserve"> </w:t>
      </w:r>
    </w:p>
    <w:p w14:paraId="353FFA59" w14:textId="6C1B548A" w:rsidR="00EB5B7A" w:rsidRPr="00B12A21" w:rsidRDefault="00EB5B7A">
      <w:pPr>
        <w:autoSpaceDE w:val="0"/>
        <w:autoSpaceDN w:val="0"/>
        <w:spacing w:before="120" w:after="0" w:line="240" w:lineRule="auto"/>
        <w:ind w:firstLine="720"/>
        <w:jc w:val="both"/>
        <w:rPr>
          <w:rFonts w:cs="Tahoma"/>
        </w:rPr>
      </w:pPr>
      <w:r>
        <w:rPr>
          <w:rFonts w:ascii="Tahoma" w:hAnsi="Tahoma" w:cs="Tahoma"/>
        </w:rPr>
        <w:t>При этом при наличии подписанного генподрядного договора к расчету стоимости проекта</w:t>
      </w:r>
      <w:r w:rsidR="00741F7B">
        <w:rPr>
          <w:rFonts w:ascii="Tahoma" w:hAnsi="Tahoma" w:cs="Tahoma"/>
        </w:rPr>
        <w:t xml:space="preserve"> капитального строительства</w:t>
      </w:r>
      <w:r>
        <w:rPr>
          <w:rFonts w:ascii="Tahoma" w:hAnsi="Tahoma" w:cs="Tahoma"/>
        </w:rPr>
        <w:t xml:space="preserve"> может быть привлечен строительный подрядчик в рамках пересчета договорной цены </w:t>
      </w:r>
      <w:r w:rsidR="00741F7B">
        <w:rPr>
          <w:rFonts w:ascii="Tahoma" w:hAnsi="Tahoma" w:cs="Tahoma"/>
        </w:rPr>
        <w:t xml:space="preserve">или в рамках выполнения задания на проектирования стадии РД, если обязанность разрабатывать РД включена в договор с генподрядчиком. В таком случае оценка стоимости проводится строительным подрядчиком на основании ценовых параметров договора строительного подряда (УЕР, правил определения стоимости МТР, надбавок, стоимости иных затрат/услуг) и </w:t>
      </w:r>
      <w:r>
        <w:rPr>
          <w:rFonts w:ascii="Tahoma" w:hAnsi="Tahoma" w:cs="Tahoma"/>
        </w:rPr>
        <w:t>только в части обязательств</w:t>
      </w:r>
      <w:r w:rsidR="004F5AE7">
        <w:rPr>
          <w:rFonts w:ascii="Tahoma" w:hAnsi="Tahoma" w:cs="Tahoma"/>
        </w:rPr>
        <w:t xml:space="preserve"> (титульных объектов)</w:t>
      </w:r>
      <w:r>
        <w:rPr>
          <w:rFonts w:ascii="Tahoma" w:hAnsi="Tahoma" w:cs="Tahoma"/>
        </w:rPr>
        <w:t>, включенных в договор строительного подряда.</w:t>
      </w:r>
    </w:p>
    <w:p w14:paraId="1022A9EC" w14:textId="77777777" w:rsidR="002E3639" w:rsidRDefault="002E3639" w:rsidP="00B12A21">
      <w:pPr>
        <w:autoSpaceDE w:val="0"/>
        <w:autoSpaceDN w:val="0"/>
        <w:spacing w:before="120" w:after="0" w:line="240" w:lineRule="auto"/>
        <w:jc w:val="both"/>
        <w:rPr>
          <w:rFonts w:ascii="Tahoma" w:hAnsi="Tahoma" w:cs="Tahoma"/>
        </w:rPr>
      </w:pPr>
    </w:p>
    <w:p w14:paraId="57B7FEBF" w14:textId="77777777" w:rsidR="000F07C4" w:rsidRDefault="000F07C4">
      <w:pPr>
        <w:rPr>
          <w:rFonts w:ascii="Tahoma" w:hAnsi="Tahoma" w:cs="Tahoma"/>
          <w:b/>
        </w:rPr>
      </w:pPr>
      <w:r>
        <w:rPr>
          <w:rFonts w:ascii="Tahoma" w:hAnsi="Tahoma" w:cs="Tahoma"/>
          <w:b/>
        </w:rPr>
        <w:br w:type="page"/>
      </w:r>
    </w:p>
    <w:p w14:paraId="6C9A2D95" w14:textId="0B6FB679" w:rsidR="00EB5B7A" w:rsidRPr="00F200DA" w:rsidRDefault="00EB5B7A" w:rsidP="00B12A21">
      <w:pPr>
        <w:spacing w:after="0"/>
        <w:jc w:val="center"/>
        <w:rPr>
          <w:rFonts w:ascii="Tahoma" w:hAnsi="Tahoma" w:cs="Tahoma"/>
          <w:b/>
        </w:rPr>
      </w:pPr>
      <w:r>
        <w:rPr>
          <w:rFonts w:ascii="Tahoma" w:hAnsi="Tahoma" w:cs="Tahoma"/>
          <w:b/>
        </w:rPr>
        <w:lastRenderedPageBreak/>
        <w:t>Ключевые различия в подходах к оценке стоимости в УЕР на разных стадиях проектирования/реализации проекта капитального строительства</w:t>
      </w:r>
    </w:p>
    <w:p w14:paraId="548BB877" w14:textId="6F885050" w:rsidR="00D2614F" w:rsidRDefault="00F77162" w:rsidP="00F77162">
      <w:pPr>
        <w:autoSpaceDE w:val="0"/>
        <w:autoSpaceDN w:val="0"/>
        <w:spacing w:before="120" w:after="0" w:line="240" w:lineRule="auto"/>
        <w:ind w:firstLine="720"/>
        <w:jc w:val="both"/>
        <w:rPr>
          <w:rFonts w:ascii="Tahoma" w:hAnsi="Tahoma" w:cs="Tahoma"/>
        </w:rPr>
      </w:pPr>
      <w:r>
        <w:rPr>
          <w:rFonts w:ascii="Tahoma" w:hAnsi="Tahoma" w:cs="Tahoma"/>
          <w:b/>
          <w:i/>
        </w:rPr>
        <w:t>Т</w:t>
      </w:r>
      <w:r w:rsidR="00741F7B" w:rsidRPr="00B12A21">
        <w:rPr>
          <w:rFonts w:ascii="Tahoma" w:hAnsi="Tahoma" w:cs="Tahoma"/>
          <w:b/>
          <w:i/>
        </w:rPr>
        <w:t>ребова</w:t>
      </w:r>
      <w:r w:rsidR="00D574AB">
        <w:rPr>
          <w:rFonts w:ascii="Tahoma" w:hAnsi="Tahoma" w:cs="Tahoma"/>
          <w:b/>
          <w:i/>
        </w:rPr>
        <w:t>ниями</w:t>
      </w:r>
      <w:r w:rsidR="00741F7B" w:rsidRPr="00B12A21">
        <w:rPr>
          <w:rFonts w:ascii="Tahoma" w:hAnsi="Tahoma" w:cs="Tahoma"/>
          <w:b/>
          <w:i/>
        </w:rPr>
        <w:t xml:space="preserve"> для стади</w:t>
      </w:r>
      <w:r w:rsidR="00104AE9">
        <w:rPr>
          <w:rFonts w:ascii="Tahoma" w:hAnsi="Tahoma" w:cs="Tahoma"/>
          <w:b/>
          <w:i/>
        </w:rPr>
        <w:t xml:space="preserve">и </w:t>
      </w:r>
      <w:r w:rsidR="00C37C6C" w:rsidRPr="00B12A21">
        <w:rPr>
          <w:rFonts w:ascii="Tahoma" w:hAnsi="Tahoma" w:cs="Tahoma"/>
          <w:b/>
          <w:i/>
        </w:rPr>
        <w:t>ОТР</w:t>
      </w:r>
      <w:r>
        <w:rPr>
          <w:rFonts w:ascii="Tahoma" w:hAnsi="Tahoma" w:cs="Tahoma"/>
        </w:rPr>
        <w:t xml:space="preserve"> при принятии Заказчиком решения о применении системы УЕР на данных стади</w:t>
      </w:r>
      <w:r w:rsidR="00D574AB">
        <w:rPr>
          <w:rFonts w:ascii="Tahoma" w:hAnsi="Tahoma" w:cs="Tahoma"/>
        </w:rPr>
        <w:t>ях проработки проектных решений</w:t>
      </w:r>
      <w:r w:rsidR="00C37C6C" w:rsidRPr="000B4A67">
        <w:rPr>
          <w:rFonts w:ascii="Tahoma" w:hAnsi="Tahoma" w:cs="Tahoma"/>
        </w:rPr>
        <w:t xml:space="preserve"> </w:t>
      </w:r>
      <w:r w:rsidR="00741F7B">
        <w:rPr>
          <w:rFonts w:ascii="Tahoma" w:hAnsi="Tahoma" w:cs="Tahoma"/>
        </w:rPr>
        <w:t xml:space="preserve">предусматривается, что при подготовке ВОР </w:t>
      </w:r>
      <w:r w:rsidR="005E12EE">
        <w:rPr>
          <w:rFonts w:ascii="Tahoma" w:hAnsi="Tahoma" w:cs="Tahoma"/>
        </w:rPr>
        <w:t>п</w:t>
      </w:r>
      <w:r w:rsidR="00257A57">
        <w:rPr>
          <w:rFonts w:ascii="Tahoma" w:hAnsi="Tahoma" w:cs="Tahoma"/>
        </w:rPr>
        <w:t>р</w:t>
      </w:r>
      <w:r w:rsidR="005E12EE" w:rsidRPr="000B4A67">
        <w:rPr>
          <w:rFonts w:ascii="Tahoma" w:hAnsi="Tahoma" w:cs="Tahoma"/>
        </w:rPr>
        <w:t xml:space="preserve">оектировщик </w:t>
      </w:r>
      <w:r w:rsidR="00C37C6C" w:rsidRPr="000B4A67">
        <w:rPr>
          <w:rFonts w:ascii="Tahoma" w:hAnsi="Tahoma" w:cs="Tahoma"/>
        </w:rPr>
        <w:t xml:space="preserve">не определяет состав </w:t>
      </w:r>
      <w:r w:rsidR="00741F7B">
        <w:rPr>
          <w:rFonts w:ascii="Tahoma" w:hAnsi="Tahoma" w:cs="Tahoma"/>
        </w:rPr>
        <w:t>МТР</w:t>
      </w:r>
      <w:r w:rsidR="00C37C6C" w:rsidRPr="000B4A67">
        <w:rPr>
          <w:rFonts w:ascii="Tahoma" w:hAnsi="Tahoma" w:cs="Tahoma"/>
        </w:rPr>
        <w:t xml:space="preserve">, если </w:t>
      </w:r>
      <w:r w:rsidR="00741F7B">
        <w:rPr>
          <w:rFonts w:ascii="Tahoma" w:hAnsi="Tahoma" w:cs="Tahoma"/>
        </w:rPr>
        <w:t xml:space="preserve">информация об их номенклатуре и количестве не указана в разрабатываемых </w:t>
      </w:r>
      <w:r w:rsidR="00875A9D" w:rsidRPr="000B4A67">
        <w:rPr>
          <w:rFonts w:ascii="Tahoma" w:hAnsi="Tahoma" w:cs="Tahoma"/>
        </w:rPr>
        <w:t>проектных решени</w:t>
      </w:r>
      <w:r w:rsidR="00875A9D">
        <w:rPr>
          <w:rFonts w:ascii="Tahoma" w:hAnsi="Tahoma" w:cs="Tahoma"/>
        </w:rPr>
        <w:t xml:space="preserve">ях </w:t>
      </w:r>
      <w:r w:rsidR="00741F7B">
        <w:rPr>
          <w:rFonts w:ascii="Tahoma" w:hAnsi="Tahoma" w:cs="Tahoma"/>
        </w:rPr>
        <w:t>. С</w:t>
      </w:r>
      <w:r w:rsidR="00C37C6C" w:rsidRPr="000B4A67">
        <w:rPr>
          <w:rFonts w:ascii="Tahoma" w:hAnsi="Tahoma" w:cs="Tahoma"/>
        </w:rPr>
        <w:t xml:space="preserve">тоимость </w:t>
      </w:r>
      <w:r w:rsidR="00741F7B">
        <w:rPr>
          <w:rFonts w:ascii="Tahoma" w:hAnsi="Tahoma" w:cs="Tahoma"/>
        </w:rPr>
        <w:t>таких МТР оценивается укрупненно путем применения к объему работ показателя удельной стоимости основных материалов на единицу работы, либо использования данных по объекту-аналогу, либо использования укрупненных нормативов, зафиксированных в НМД Компании</w:t>
      </w:r>
      <w:r w:rsidR="00C37C6C" w:rsidRPr="000B4A67">
        <w:rPr>
          <w:rFonts w:ascii="Tahoma" w:hAnsi="Tahoma" w:cs="Tahoma"/>
        </w:rPr>
        <w:t xml:space="preserve">. </w:t>
      </w:r>
      <w:r w:rsidR="00741F7B">
        <w:rPr>
          <w:rFonts w:ascii="Tahoma" w:hAnsi="Tahoma" w:cs="Tahoma"/>
        </w:rPr>
        <w:t>При этом требуется попозиционное отражение и оценка</w:t>
      </w:r>
      <w:r>
        <w:rPr>
          <w:rFonts w:ascii="Tahoma" w:hAnsi="Tahoma" w:cs="Tahoma"/>
        </w:rPr>
        <w:t xml:space="preserve"> стоимости</w:t>
      </w:r>
      <w:r w:rsidR="00741F7B">
        <w:rPr>
          <w:rFonts w:ascii="Tahoma" w:hAnsi="Tahoma" w:cs="Tahoma"/>
        </w:rPr>
        <w:t xml:space="preserve"> тех основных МТР, которые прямо указаны в проектных решениях данных стадий. </w:t>
      </w:r>
      <w:r>
        <w:rPr>
          <w:rFonts w:ascii="Tahoma" w:hAnsi="Tahoma" w:cs="Tahoma"/>
        </w:rPr>
        <w:t xml:space="preserve">Попозиционное отражение номенклатуры и количества (с учетом норм трудноустранимых потерь и отходов) других основных МТР может быть выполнено на основании данных об объекте-аналоге, но не </w:t>
      </w:r>
      <w:r w:rsidR="00245625">
        <w:rPr>
          <w:rFonts w:ascii="Tahoma" w:hAnsi="Tahoma" w:cs="Tahoma"/>
        </w:rPr>
        <w:t>является обязательным требованием</w:t>
      </w:r>
      <w:r>
        <w:rPr>
          <w:rFonts w:ascii="Tahoma" w:hAnsi="Tahoma" w:cs="Tahoma"/>
        </w:rPr>
        <w:t>.</w:t>
      </w:r>
      <w:r w:rsidRPr="00F77162">
        <w:rPr>
          <w:rFonts w:ascii="Tahoma" w:hAnsi="Tahoma" w:cs="Tahoma"/>
        </w:rPr>
        <w:t xml:space="preserve"> </w:t>
      </w:r>
    </w:p>
    <w:p w14:paraId="5638B280" w14:textId="687BB3E7" w:rsidR="00D2614F" w:rsidRDefault="00104EF3" w:rsidP="00F77162">
      <w:pPr>
        <w:autoSpaceDE w:val="0"/>
        <w:autoSpaceDN w:val="0"/>
        <w:spacing w:before="120" w:after="0" w:line="240" w:lineRule="auto"/>
        <w:ind w:firstLine="720"/>
        <w:jc w:val="both"/>
        <w:rPr>
          <w:rFonts w:ascii="Tahoma" w:hAnsi="Tahoma" w:cs="Tahoma"/>
        </w:rPr>
      </w:pPr>
      <w:r>
        <w:rPr>
          <w:rFonts w:ascii="Tahoma" w:hAnsi="Tahoma" w:cs="Tahoma"/>
        </w:rPr>
        <w:t>Стоимость СМР определяется</w:t>
      </w:r>
      <w:r w:rsidR="00875A9D">
        <w:rPr>
          <w:rFonts w:ascii="Tahoma" w:hAnsi="Tahoma" w:cs="Tahoma"/>
        </w:rPr>
        <w:t xml:space="preserve"> Заказчиком</w:t>
      </w:r>
      <w:r>
        <w:rPr>
          <w:rFonts w:ascii="Tahoma" w:hAnsi="Tahoma" w:cs="Tahoma"/>
        </w:rPr>
        <w:t xml:space="preserve"> на основании данных бенчмарка среднерыночной цены работ в структуре УЕР или на основании данных, полученных в ходе предварительной коммерческой работы</w:t>
      </w:r>
      <w:r w:rsidR="00875A9D">
        <w:rPr>
          <w:rFonts w:ascii="Tahoma" w:hAnsi="Tahoma" w:cs="Tahoma"/>
        </w:rPr>
        <w:t xml:space="preserve"> путем</w:t>
      </w:r>
      <w:r>
        <w:rPr>
          <w:rFonts w:ascii="Tahoma" w:hAnsi="Tahoma" w:cs="Tahoma"/>
        </w:rPr>
        <w:t xml:space="preserve"> анонса проведения закупочной процедуры в рамках конкретного строительного проекта. </w:t>
      </w:r>
    </w:p>
    <w:p w14:paraId="117CB794" w14:textId="689BC50B" w:rsidR="00F77162" w:rsidRPr="000B4A67" w:rsidRDefault="00F77162" w:rsidP="00F77162">
      <w:pPr>
        <w:autoSpaceDE w:val="0"/>
        <w:autoSpaceDN w:val="0"/>
        <w:spacing w:before="120" w:after="0" w:line="240" w:lineRule="auto"/>
        <w:ind w:firstLine="720"/>
        <w:jc w:val="both"/>
        <w:rPr>
          <w:rFonts w:ascii="Tahoma" w:hAnsi="Tahoma" w:cs="Tahoma"/>
        </w:rPr>
      </w:pPr>
      <w:r w:rsidRPr="000B4A67">
        <w:rPr>
          <w:rFonts w:ascii="Tahoma" w:hAnsi="Tahoma" w:cs="Tahoma"/>
        </w:rPr>
        <w:t xml:space="preserve">Стоимость прочих затрат на фазах «Инициирования и «Планирования» также определяется Заказчиком на основании </w:t>
      </w:r>
      <w:r w:rsidR="009C6B66">
        <w:rPr>
          <w:rFonts w:ascii="Tahoma" w:hAnsi="Tahoma" w:cs="Tahoma"/>
        </w:rPr>
        <w:t>р</w:t>
      </w:r>
      <w:r w:rsidR="009C6B66" w:rsidRPr="009C6B66">
        <w:rPr>
          <w:rFonts w:ascii="Tahoma" w:hAnsi="Tahoma" w:cs="Tahoma"/>
        </w:rPr>
        <w:t>екомендаций по применению прочих затрат, не вошедших в состав УЕР при формировании ССР для проектов строительства наземного комплекса с учетом особенностей применения проектов горнорудного комплекса, и газоэнергетической отрасли (НПР) (письмо № ГМК/20896 – исх от 05.10.2021г.</w:t>
      </w:r>
      <w:r w:rsidR="00D2614F">
        <w:rPr>
          <w:rFonts w:ascii="Tahoma" w:hAnsi="Tahoma" w:cs="Tahoma"/>
        </w:rPr>
        <w:t xml:space="preserve">, </w:t>
      </w:r>
      <w:r w:rsidR="00D2614F" w:rsidRPr="00D574AB">
        <w:rPr>
          <w:rFonts w:ascii="Tahoma" w:hAnsi="Tahoma" w:cs="Tahoma"/>
        </w:rPr>
        <w:t>служебная записка № ГМК_05/171 от 04.10.2021г</w:t>
      </w:r>
      <w:bookmarkStart w:id="0" w:name="_GoBack"/>
      <w:bookmarkEnd w:id="0"/>
      <w:r w:rsidR="00D2614F" w:rsidRPr="00D574AB">
        <w:rPr>
          <w:rFonts w:ascii="Tahoma" w:hAnsi="Tahoma" w:cs="Tahoma"/>
        </w:rPr>
        <w:t>.</w:t>
      </w:r>
      <w:r w:rsidR="009C6B66" w:rsidRPr="009C6B66">
        <w:rPr>
          <w:rFonts w:ascii="Tahoma" w:hAnsi="Tahoma" w:cs="Tahoma"/>
        </w:rPr>
        <w:t>)</w:t>
      </w:r>
      <w:r w:rsidRPr="000B4A67">
        <w:rPr>
          <w:rFonts w:ascii="Tahoma" w:hAnsi="Tahoma" w:cs="Tahoma"/>
        </w:rPr>
        <w:t>.</w:t>
      </w:r>
    </w:p>
    <w:p w14:paraId="5AFE15F7" w14:textId="396D7557" w:rsidR="00104EF3" w:rsidRDefault="00F77162" w:rsidP="00B12A21">
      <w:pPr>
        <w:autoSpaceDE w:val="0"/>
        <w:autoSpaceDN w:val="0"/>
        <w:spacing w:before="120" w:after="0" w:line="240" w:lineRule="auto"/>
        <w:ind w:firstLine="709"/>
        <w:jc w:val="both"/>
        <w:rPr>
          <w:rFonts w:ascii="Tahoma" w:hAnsi="Tahoma" w:cs="Tahoma"/>
        </w:rPr>
      </w:pPr>
      <w:r>
        <w:rPr>
          <w:rFonts w:ascii="Tahoma" w:hAnsi="Tahoma" w:cs="Tahoma"/>
        </w:rPr>
        <w:t>В отличие от стади</w:t>
      </w:r>
      <w:r w:rsidR="00827C1A">
        <w:rPr>
          <w:rFonts w:ascii="Tahoma" w:hAnsi="Tahoma" w:cs="Tahoma"/>
        </w:rPr>
        <w:t>и</w:t>
      </w:r>
      <w:r>
        <w:rPr>
          <w:rFonts w:ascii="Tahoma" w:hAnsi="Tahoma" w:cs="Tahoma"/>
        </w:rPr>
        <w:t xml:space="preserve"> ОТР, </w:t>
      </w:r>
      <w:r w:rsidRPr="00B12A21">
        <w:rPr>
          <w:rFonts w:ascii="Tahoma" w:hAnsi="Tahoma" w:cs="Tahoma"/>
          <w:b/>
          <w:i/>
        </w:rPr>
        <w:t>Требования для стадии ПД</w:t>
      </w:r>
      <w:r>
        <w:rPr>
          <w:rFonts w:ascii="Tahoma" w:hAnsi="Tahoma" w:cs="Tahoma"/>
        </w:rPr>
        <w:t xml:space="preserve"> предусматривают необходимость попозиционного отражения </w:t>
      </w:r>
      <w:r w:rsidR="00104EF3">
        <w:rPr>
          <w:rFonts w:ascii="Tahoma" w:hAnsi="Tahoma" w:cs="Tahoma"/>
        </w:rPr>
        <w:t xml:space="preserve">в ВОР </w:t>
      </w:r>
      <w:r w:rsidR="00C37C6C" w:rsidRPr="000B4A67">
        <w:rPr>
          <w:rFonts w:ascii="Tahoma" w:hAnsi="Tahoma" w:cs="Tahoma"/>
        </w:rPr>
        <w:t>состав</w:t>
      </w:r>
      <w:r>
        <w:rPr>
          <w:rFonts w:ascii="Tahoma" w:hAnsi="Tahoma" w:cs="Tahoma"/>
        </w:rPr>
        <w:t>а</w:t>
      </w:r>
      <w:r w:rsidR="00C37C6C" w:rsidRPr="000B4A67">
        <w:rPr>
          <w:rFonts w:ascii="Tahoma" w:hAnsi="Tahoma" w:cs="Tahoma"/>
        </w:rPr>
        <w:t xml:space="preserve"> и объем</w:t>
      </w:r>
      <w:r>
        <w:rPr>
          <w:rFonts w:ascii="Tahoma" w:hAnsi="Tahoma" w:cs="Tahoma"/>
        </w:rPr>
        <w:t>ов</w:t>
      </w:r>
      <w:r w:rsidR="00C37C6C" w:rsidRPr="000B4A67">
        <w:rPr>
          <w:rFonts w:ascii="Tahoma" w:hAnsi="Tahoma" w:cs="Tahoma"/>
        </w:rPr>
        <w:t xml:space="preserve"> основных МТР</w:t>
      </w:r>
      <w:r>
        <w:rPr>
          <w:rFonts w:ascii="Tahoma" w:hAnsi="Tahoma" w:cs="Tahoma"/>
        </w:rPr>
        <w:t>, что является возможным при наличии в проектных решениях стадии ПД соответствующих чертежей и пояснительных записок к ним, а также спецификаций основных МТР.</w:t>
      </w:r>
      <w:r w:rsidR="00C37C6C" w:rsidRPr="000B4A67">
        <w:rPr>
          <w:rFonts w:ascii="Tahoma" w:hAnsi="Tahoma" w:cs="Tahoma"/>
        </w:rPr>
        <w:t xml:space="preserve"> </w:t>
      </w:r>
      <w:r>
        <w:rPr>
          <w:rFonts w:ascii="Tahoma" w:hAnsi="Tahoma" w:cs="Tahoma"/>
        </w:rPr>
        <w:t xml:space="preserve">Стоимость основных МТР при их попозиционном отражении в ВОР определяется на основании данных выполняемого проектировщиком </w:t>
      </w:r>
      <w:r w:rsidR="00C37C6C" w:rsidRPr="000B4A67">
        <w:rPr>
          <w:rFonts w:ascii="Tahoma" w:hAnsi="Tahoma" w:cs="Tahoma"/>
        </w:rPr>
        <w:t xml:space="preserve">мониторинга рыночных цен, </w:t>
      </w:r>
      <w:r>
        <w:rPr>
          <w:rFonts w:ascii="Tahoma" w:hAnsi="Tahoma" w:cs="Tahoma"/>
        </w:rPr>
        <w:t>оформляемых в том (структурированных архив) обосновывающих материалов</w:t>
      </w:r>
      <w:r w:rsidR="00C37C6C" w:rsidRPr="000B4A67">
        <w:rPr>
          <w:rFonts w:ascii="Tahoma" w:hAnsi="Tahoma" w:cs="Tahoma"/>
        </w:rPr>
        <w:t xml:space="preserve">. </w:t>
      </w:r>
      <w:r>
        <w:rPr>
          <w:rFonts w:ascii="Tahoma" w:hAnsi="Tahoma" w:cs="Tahoma"/>
        </w:rPr>
        <w:t>Требованиями предусматривается возможность для Заказчика принять участие в формировании данных о рыночных ценах на МТР путем предоставления проектировщику актуальных прейскурантов и прайс-листов поставщиков в регионах присутствия, актуальных данных о рыночных ценах на МТР от ДМТО, либо путем отправки запроса коммерческих предложений и прайс-листов внешним поставщикам бюджетообразующих МТР от лица Заказчика. Такое участие повышает точность определения рыночной стоимости бюджетообразующих основных МТР.</w:t>
      </w:r>
      <w:r w:rsidR="00104EF3">
        <w:rPr>
          <w:rFonts w:ascii="Tahoma" w:hAnsi="Tahoma" w:cs="Tahoma"/>
        </w:rPr>
        <w:t xml:space="preserve"> Подход к определению стоимости СМР и прочих затрат на стадии ПД соответствует требованиям для стади</w:t>
      </w:r>
      <w:r w:rsidR="00C079FD">
        <w:rPr>
          <w:rFonts w:ascii="Tahoma" w:hAnsi="Tahoma" w:cs="Tahoma"/>
        </w:rPr>
        <w:t xml:space="preserve">и </w:t>
      </w:r>
      <w:r w:rsidR="00104EF3">
        <w:rPr>
          <w:rFonts w:ascii="Tahoma" w:hAnsi="Tahoma" w:cs="Tahoma"/>
        </w:rPr>
        <w:t>ОТР.</w:t>
      </w:r>
    </w:p>
    <w:p w14:paraId="56D8578B" w14:textId="793C211B" w:rsidR="00104EF3" w:rsidRPr="000B4A67" w:rsidRDefault="00104EF3" w:rsidP="00B12A21">
      <w:pPr>
        <w:autoSpaceDE w:val="0"/>
        <w:autoSpaceDN w:val="0"/>
        <w:spacing w:before="120" w:after="0" w:line="240" w:lineRule="auto"/>
        <w:ind w:firstLine="709"/>
        <w:jc w:val="both"/>
        <w:rPr>
          <w:rFonts w:ascii="Tahoma" w:hAnsi="Tahoma" w:cs="Tahoma"/>
        </w:rPr>
      </w:pPr>
      <w:r w:rsidRPr="00B12A21">
        <w:rPr>
          <w:rFonts w:ascii="Tahoma" w:hAnsi="Tahoma" w:cs="Tahoma"/>
          <w:b/>
          <w:i/>
        </w:rPr>
        <w:t>Требования для стадии РД</w:t>
      </w:r>
      <w:r>
        <w:rPr>
          <w:rFonts w:ascii="Tahoma" w:hAnsi="Tahoma" w:cs="Tahoma"/>
        </w:rPr>
        <w:t xml:space="preserve"> являются сокращенной версией Требований для стадии ПД</w:t>
      </w:r>
      <w:r w:rsidR="00657E95">
        <w:rPr>
          <w:rFonts w:ascii="Tahoma" w:hAnsi="Tahoma" w:cs="Tahoma"/>
        </w:rPr>
        <w:t xml:space="preserve"> (за исключением одностадийного проектирования)</w:t>
      </w:r>
      <w:r>
        <w:rPr>
          <w:rFonts w:ascii="Tahoma" w:hAnsi="Tahoma" w:cs="Tahoma"/>
        </w:rPr>
        <w:t>: в них исключается требование</w:t>
      </w:r>
      <w:r w:rsidR="000C3A99">
        <w:rPr>
          <w:rFonts w:ascii="Tahoma" w:hAnsi="Tahoma" w:cs="Tahoma"/>
        </w:rPr>
        <w:t xml:space="preserve"> к проектировщику</w:t>
      </w:r>
      <w:r>
        <w:rPr>
          <w:rFonts w:ascii="Tahoma" w:hAnsi="Tahoma" w:cs="Tahoma"/>
        </w:rPr>
        <w:t xml:space="preserve"> определять величину прочих затрат, а также выполнять мониторинг цен на основные МТР</w:t>
      </w:r>
      <w:r w:rsidR="008C164F">
        <w:rPr>
          <w:rFonts w:ascii="Tahoma" w:hAnsi="Tahoma" w:cs="Tahoma"/>
        </w:rPr>
        <w:t xml:space="preserve">, но </w:t>
      </w:r>
      <w:r w:rsidR="00AE19AA">
        <w:rPr>
          <w:rFonts w:ascii="Tahoma" w:hAnsi="Tahoma" w:cs="Tahoma"/>
        </w:rPr>
        <w:t xml:space="preserve">уточняются </w:t>
      </w:r>
      <w:r w:rsidR="008C164F">
        <w:rPr>
          <w:rFonts w:ascii="Tahoma" w:hAnsi="Tahoma" w:cs="Tahoma"/>
        </w:rPr>
        <w:t>ВОР в соответствие с разработанной рабочей документацией</w:t>
      </w:r>
      <w:r>
        <w:rPr>
          <w:rFonts w:ascii="Tahoma" w:hAnsi="Tahoma" w:cs="Tahoma"/>
        </w:rPr>
        <w:t xml:space="preserve">. </w:t>
      </w:r>
      <w:r w:rsidR="000C3A99">
        <w:rPr>
          <w:rFonts w:ascii="Tahoma" w:hAnsi="Tahoma" w:cs="Tahoma"/>
        </w:rPr>
        <w:t>Д</w:t>
      </w:r>
      <w:r>
        <w:rPr>
          <w:rFonts w:ascii="Tahoma" w:hAnsi="Tahoma" w:cs="Tahoma"/>
        </w:rPr>
        <w:t xml:space="preserve">анные требования применимы в случае если проект переведен на фазу «Реализация» и </w:t>
      </w:r>
      <w:r w:rsidR="000F07C4">
        <w:rPr>
          <w:rFonts w:ascii="Tahoma" w:hAnsi="Tahoma" w:cs="Tahoma"/>
        </w:rPr>
        <w:t>заключен договор</w:t>
      </w:r>
      <w:r>
        <w:rPr>
          <w:rFonts w:ascii="Tahoma" w:hAnsi="Tahoma" w:cs="Tahoma"/>
        </w:rPr>
        <w:t xml:space="preserve"> строительного подряда с одновременной разработкой РД. В таком случае ВОР стадии РД расцениваются </w:t>
      </w:r>
      <w:r w:rsidR="000F07C4">
        <w:rPr>
          <w:rFonts w:ascii="Tahoma" w:hAnsi="Tahoma" w:cs="Tahoma"/>
        </w:rPr>
        <w:t>по</w:t>
      </w:r>
      <w:r>
        <w:rPr>
          <w:rFonts w:ascii="Tahoma" w:hAnsi="Tahoma" w:cs="Tahoma"/>
        </w:rPr>
        <w:t xml:space="preserve"> правил</w:t>
      </w:r>
      <w:r w:rsidR="000F07C4">
        <w:rPr>
          <w:rFonts w:ascii="Tahoma" w:hAnsi="Tahoma" w:cs="Tahoma"/>
        </w:rPr>
        <w:t>ам</w:t>
      </w:r>
      <w:r>
        <w:rPr>
          <w:rFonts w:ascii="Tahoma" w:hAnsi="Tahoma" w:cs="Tahoma"/>
        </w:rPr>
        <w:t>, зафиксированны</w:t>
      </w:r>
      <w:r w:rsidR="000F07C4">
        <w:rPr>
          <w:rFonts w:ascii="Tahoma" w:hAnsi="Tahoma" w:cs="Tahoma"/>
        </w:rPr>
        <w:t>м</w:t>
      </w:r>
      <w:r>
        <w:rPr>
          <w:rFonts w:ascii="Tahoma" w:hAnsi="Tahoma" w:cs="Tahoma"/>
        </w:rPr>
        <w:t xml:space="preserve"> в договоре строительного подряда</w:t>
      </w:r>
      <w:r w:rsidR="000F07C4">
        <w:rPr>
          <w:rFonts w:ascii="Tahoma" w:hAnsi="Tahoma" w:cs="Tahoma"/>
        </w:rPr>
        <w:t xml:space="preserve"> (УЕР, правила определения стоимости МТР, надбавок, стоимости иных затрат/услуг), силами строительного подрядчика в рамках процесса пересчета договорной цены. При отсутствии договора строительного подряда на момент разработки РД и планируемом выходе на закупку строительного подряда на основании документации стадии РД, необходимо применять требования для стадии ПД в части мониторинга цен на основные МТР и определения величины прочих затрат, </w:t>
      </w:r>
      <w:r w:rsidR="000F07C4">
        <w:rPr>
          <w:rFonts w:ascii="Tahoma" w:hAnsi="Tahoma" w:cs="Tahoma"/>
        </w:rPr>
        <w:lastRenderedPageBreak/>
        <w:t>подлежащих уточнению на данном этапе жизненного цикла проекта капитального строительства.</w:t>
      </w:r>
    </w:p>
    <w:p w14:paraId="4AC3972B" w14:textId="185566F3" w:rsidR="00494BE4" w:rsidRPr="00AB68EB" w:rsidRDefault="00494BE4" w:rsidP="00B12A21">
      <w:pPr>
        <w:ind w:firstLine="709"/>
        <w:jc w:val="center"/>
        <w:rPr>
          <w:rFonts w:ascii="Tahoma" w:hAnsi="Tahoma" w:cs="Tahoma"/>
          <w:b/>
        </w:rPr>
      </w:pPr>
      <w:r>
        <w:rPr>
          <w:rFonts w:ascii="Tahoma" w:hAnsi="Tahoma" w:cs="Tahoma"/>
          <w:b/>
        </w:rPr>
        <w:t xml:space="preserve">Описание правил </w:t>
      </w:r>
      <w:r w:rsidRPr="00AB68EB">
        <w:rPr>
          <w:rFonts w:ascii="Tahoma" w:hAnsi="Tahoma" w:cs="Tahoma"/>
          <w:b/>
        </w:rPr>
        <w:t>актуализации перечня УЕР</w:t>
      </w:r>
      <w:r>
        <w:rPr>
          <w:rFonts w:ascii="Tahoma" w:hAnsi="Tahoma" w:cs="Tahoma"/>
          <w:b/>
        </w:rPr>
        <w:t xml:space="preserve"> при его включении в Требования</w:t>
      </w:r>
    </w:p>
    <w:p w14:paraId="2C2CA978" w14:textId="1D6D3DF1" w:rsidR="00494BE4" w:rsidRPr="00B12A21" w:rsidRDefault="00494BE4" w:rsidP="00B12A21">
      <w:pPr>
        <w:pStyle w:val="a3"/>
        <w:tabs>
          <w:tab w:val="left" w:pos="426"/>
        </w:tabs>
        <w:ind w:left="0"/>
        <w:contextualSpacing w:val="0"/>
        <w:rPr>
          <w:rFonts w:cs="Tahoma"/>
        </w:rPr>
      </w:pPr>
      <w:r>
        <w:rPr>
          <w:rFonts w:cs="Tahoma"/>
          <w:lang w:val="ru-RU"/>
        </w:rPr>
        <w:t xml:space="preserve">Одним из приложений к Требованиям является перечень УЕР с технической частью (описанием УЕР), который необходим проектировщику/ЕРС-подрядчику/строительному подрядчику для </w:t>
      </w:r>
      <w:r w:rsidR="00580E98">
        <w:rPr>
          <w:rFonts w:cs="Tahoma"/>
          <w:lang w:val="ru-RU"/>
        </w:rPr>
        <w:t>формирования ВОР</w:t>
      </w:r>
      <w:r>
        <w:rPr>
          <w:rFonts w:cs="Tahoma"/>
          <w:lang w:val="ru-RU"/>
        </w:rPr>
        <w:t xml:space="preserve"> в принятой у Заказчика структуре видов работ. Перечень УЕР при этом может актуализироваться оператором базы УЕР путем уточнения (улучшения) описания отдельных УЕР, добавления новых УЕР, удаления неиспользуемых УЕР и </w:t>
      </w:r>
      <w:r w:rsidR="00073E88">
        <w:rPr>
          <w:rFonts w:cs="Tahoma"/>
          <w:lang w:val="ru-RU"/>
        </w:rPr>
        <w:t>путем других изменений. При внесении таких изменений перечень УЕР выпускается в новой ревизии (версии). Таким образом, на протяжении жизненного цикла строительного проекта могут возникнуть несколько различных версий перечня УЕР. Для выработки единого подхода по данному вопросу участниками процесса внедрения УЕР установлены следующие правила:</w:t>
      </w:r>
    </w:p>
    <w:p w14:paraId="21CDCAE9" w14:textId="68D60D24" w:rsidR="00494BE4" w:rsidRPr="00B12A21" w:rsidRDefault="00494BE4" w:rsidP="00B12A21">
      <w:pPr>
        <w:pStyle w:val="a3"/>
        <w:numPr>
          <w:ilvl w:val="0"/>
          <w:numId w:val="9"/>
        </w:numPr>
        <w:tabs>
          <w:tab w:val="left" w:pos="426"/>
        </w:tabs>
        <w:ind w:left="0" w:firstLine="720"/>
        <w:contextualSpacing w:val="0"/>
        <w:rPr>
          <w:rFonts w:cs="Tahoma"/>
        </w:rPr>
      </w:pPr>
      <w:r w:rsidRPr="00B12A21">
        <w:rPr>
          <w:rFonts w:cs="Tahoma"/>
        </w:rPr>
        <w:t>В задание на проектирование документации той стадии, на основании которой будет сформирован пакет закупочной документации по выбору С-/ЕРС-подрядчика, должен включаться наиболее актуальный перечень УЕР, действующий на момент заключения договора на проектирование. В случае выхода новой ревизии перечня УЕР и доведении его до сведения Заказчика, и, если подготовка ВОР еще не начата, Заказчик должен направить актуализированную версию перечня УЕР проектировщику до начала подготовки ВОР. Необходимо обращать особое внимание на дату выпуска актуального перечня УЕР для его своевременной передачи проектировщику.</w:t>
      </w:r>
    </w:p>
    <w:p w14:paraId="5EC381BC" w14:textId="421C63EC" w:rsidR="00494BE4" w:rsidRPr="00B12A21" w:rsidRDefault="00494BE4" w:rsidP="00B12A21">
      <w:pPr>
        <w:pStyle w:val="a3"/>
        <w:numPr>
          <w:ilvl w:val="0"/>
          <w:numId w:val="9"/>
        </w:numPr>
        <w:tabs>
          <w:tab w:val="left" w:pos="426"/>
        </w:tabs>
        <w:ind w:left="0" w:firstLine="720"/>
        <w:contextualSpacing w:val="0"/>
        <w:rPr>
          <w:rFonts w:cs="Tahoma"/>
        </w:rPr>
      </w:pPr>
      <w:r>
        <w:rPr>
          <w:rFonts w:cs="Tahoma"/>
        </w:rPr>
        <w:t xml:space="preserve">В </w:t>
      </w:r>
      <w:r w:rsidRPr="00F14DAF">
        <w:rPr>
          <w:rFonts w:cs="Tahoma"/>
        </w:rPr>
        <w:t>случае</w:t>
      </w:r>
      <w:r>
        <w:rPr>
          <w:rFonts w:cs="Tahoma"/>
        </w:rPr>
        <w:t>,</w:t>
      </w:r>
      <w:r w:rsidRPr="00F14DAF">
        <w:rPr>
          <w:rFonts w:cs="Tahoma"/>
        </w:rPr>
        <w:t xml:space="preserve"> если </w:t>
      </w:r>
      <w:r w:rsidR="001E3666">
        <w:rPr>
          <w:rFonts w:cs="Tahoma"/>
          <w:lang w:val="ru-RU"/>
        </w:rPr>
        <w:t>проектом предусмотрены</w:t>
      </w:r>
      <w:r w:rsidRPr="00F14DAF">
        <w:rPr>
          <w:rFonts w:cs="Tahoma"/>
        </w:rPr>
        <w:t xml:space="preserve"> </w:t>
      </w:r>
      <w:r w:rsidR="001E3666" w:rsidRPr="00F14DAF">
        <w:rPr>
          <w:rFonts w:cs="Tahoma"/>
        </w:rPr>
        <w:t>этап</w:t>
      </w:r>
      <w:r w:rsidR="001E3666">
        <w:rPr>
          <w:rFonts w:cs="Tahoma"/>
          <w:lang w:val="ru-RU"/>
        </w:rPr>
        <w:t>ы</w:t>
      </w:r>
      <w:r w:rsidRPr="00F14DAF">
        <w:rPr>
          <w:rFonts w:cs="Tahoma"/>
        </w:rPr>
        <w:t>/</w:t>
      </w:r>
      <w:r w:rsidR="001E3666" w:rsidRPr="00F14DAF">
        <w:rPr>
          <w:rFonts w:cs="Tahoma"/>
        </w:rPr>
        <w:t>пусковы</w:t>
      </w:r>
      <w:r w:rsidR="001E3666">
        <w:rPr>
          <w:rFonts w:cs="Tahoma"/>
          <w:lang w:val="ru-RU"/>
        </w:rPr>
        <w:t>е</w:t>
      </w:r>
      <w:r w:rsidR="001E3666" w:rsidRPr="00F14DAF">
        <w:rPr>
          <w:rFonts w:cs="Tahoma"/>
        </w:rPr>
        <w:t xml:space="preserve"> комплекс</w:t>
      </w:r>
      <w:r w:rsidR="001E3666">
        <w:rPr>
          <w:rFonts w:cs="Tahoma"/>
          <w:lang w:val="ru-RU"/>
        </w:rPr>
        <w:t>ы</w:t>
      </w:r>
      <w:r w:rsidRPr="00F14DAF">
        <w:rPr>
          <w:rFonts w:cs="Tahoma"/>
        </w:rPr>
        <w:t xml:space="preserve">, </w:t>
      </w:r>
      <w:r>
        <w:rPr>
          <w:rFonts w:cs="Tahoma"/>
        </w:rPr>
        <w:t xml:space="preserve">ввод в эксплуатацию которых подлежит отдельно, а также </w:t>
      </w:r>
      <w:r w:rsidRPr="00F14DAF">
        <w:rPr>
          <w:rFonts w:cs="Tahoma"/>
        </w:rPr>
        <w:t>передача в строительство будет осуществляться отдельными С-/ЕРС-контрактами, допускается отдельная актуализация перечня УЕР в разрезе этапов/пусковых комплексов.</w:t>
      </w:r>
    </w:p>
    <w:p w14:paraId="2247D140" w14:textId="518B19F9" w:rsidR="00494BE4" w:rsidRPr="00B12A21" w:rsidRDefault="00494BE4" w:rsidP="00B12A21">
      <w:pPr>
        <w:pStyle w:val="a3"/>
        <w:numPr>
          <w:ilvl w:val="0"/>
          <w:numId w:val="9"/>
        </w:numPr>
        <w:tabs>
          <w:tab w:val="left" w:pos="426"/>
        </w:tabs>
        <w:ind w:left="0" w:firstLine="720"/>
        <w:contextualSpacing w:val="0"/>
        <w:rPr>
          <w:rFonts w:cs="Tahoma"/>
        </w:rPr>
      </w:pPr>
      <w:r w:rsidRPr="00F14DAF">
        <w:rPr>
          <w:rFonts w:cs="Tahoma"/>
        </w:rPr>
        <w:t>После объявления закупочной процедуры подготовка ВОР всех последующих стадий проектирования ведется в структуре того же перечня УЕР, что был зафиксирован в пакете закупочной документации по выбору С-/ЕРС-подрядчика и договоре с победителем закупки.</w:t>
      </w:r>
    </w:p>
    <w:p w14:paraId="64F734E1" w14:textId="1C271470" w:rsidR="00494BE4" w:rsidRPr="00F14DAF" w:rsidRDefault="00494BE4" w:rsidP="00B12A21">
      <w:pPr>
        <w:pStyle w:val="a3"/>
        <w:numPr>
          <w:ilvl w:val="0"/>
          <w:numId w:val="9"/>
        </w:numPr>
        <w:tabs>
          <w:tab w:val="left" w:pos="426"/>
        </w:tabs>
        <w:ind w:left="0" w:firstLine="720"/>
        <w:contextualSpacing w:val="0"/>
        <w:rPr>
          <w:rFonts w:cs="Tahoma"/>
        </w:rPr>
      </w:pPr>
      <w:r w:rsidRPr="00F14DAF">
        <w:rPr>
          <w:rFonts w:cs="Tahoma"/>
        </w:rPr>
        <w:t>Во всех остальных случаях актуализация применяемого перечня УЕР может быть инициирована только</w:t>
      </w:r>
      <w:r>
        <w:rPr>
          <w:rFonts w:cs="Tahoma"/>
        </w:rPr>
        <w:t>,</w:t>
      </w:r>
      <w:r w:rsidRPr="00F14DAF">
        <w:rPr>
          <w:rFonts w:cs="Tahoma"/>
        </w:rPr>
        <w:t xml:space="preserve"> если такое решение принято бизнес-куратором проекта или руководителем проекта с учетом влияния на стоимость и сроки реализации проекта путем заключения доп. соглашения.</w:t>
      </w:r>
    </w:p>
    <w:p w14:paraId="5A551784" w14:textId="04A3EED3" w:rsidR="000F07C4" w:rsidRPr="00F200DA" w:rsidRDefault="000F07C4" w:rsidP="00B12A21">
      <w:pPr>
        <w:spacing w:before="240" w:after="0"/>
        <w:jc w:val="center"/>
        <w:rPr>
          <w:rFonts w:ascii="Tahoma" w:hAnsi="Tahoma" w:cs="Tahoma"/>
          <w:b/>
        </w:rPr>
      </w:pPr>
      <w:r>
        <w:rPr>
          <w:rFonts w:ascii="Tahoma" w:hAnsi="Tahoma" w:cs="Tahoma"/>
          <w:b/>
        </w:rPr>
        <w:t>Описание подхода к определению ответственности проектировщика за качество оценки физических объемов работ</w:t>
      </w:r>
    </w:p>
    <w:p w14:paraId="573939BE" w14:textId="3AAD751E" w:rsidR="00F43599" w:rsidRDefault="000F07C4" w:rsidP="00C37C6C">
      <w:pPr>
        <w:autoSpaceDE w:val="0"/>
        <w:autoSpaceDN w:val="0"/>
        <w:spacing w:before="120" w:after="0" w:line="240" w:lineRule="auto"/>
        <w:ind w:firstLine="720"/>
        <w:jc w:val="both"/>
        <w:rPr>
          <w:rFonts w:ascii="Tahoma" w:hAnsi="Tahoma" w:cs="Tahoma"/>
        </w:rPr>
      </w:pPr>
      <w:r>
        <w:rPr>
          <w:rFonts w:ascii="Tahoma" w:hAnsi="Tahoma" w:cs="Tahoma"/>
        </w:rPr>
        <w:t xml:space="preserve">В настоящем разделе описан </w:t>
      </w:r>
      <w:r w:rsidR="00494BE4">
        <w:rPr>
          <w:rFonts w:ascii="Tahoma" w:hAnsi="Tahoma" w:cs="Tahoma"/>
        </w:rPr>
        <w:t xml:space="preserve">возможный </w:t>
      </w:r>
      <w:r w:rsidR="00F43599">
        <w:rPr>
          <w:rFonts w:ascii="Tahoma" w:hAnsi="Tahoma" w:cs="Tahoma"/>
        </w:rPr>
        <w:t>подход к определению порядка</w:t>
      </w:r>
      <w:r w:rsidR="00C37C6C" w:rsidRPr="000B4A67">
        <w:rPr>
          <w:rFonts w:ascii="Tahoma" w:hAnsi="Tahoma" w:cs="Tahoma"/>
        </w:rPr>
        <w:t xml:space="preserve"> ответственности </w:t>
      </w:r>
      <w:r w:rsidR="00494BE4">
        <w:rPr>
          <w:rFonts w:ascii="Tahoma" w:hAnsi="Tahoma" w:cs="Tahoma"/>
        </w:rPr>
        <w:t>п</w:t>
      </w:r>
      <w:r w:rsidR="00494BE4" w:rsidRPr="000B4A67">
        <w:rPr>
          <w:rFonts w:ascii="Tahoma" w:hAnsi="Tahoma" w:cs="Tahoma"/>
        </w:rPr>
        <w:t xml:space="preserve">роектировщика </w:t>
      </w:r>
      <w:r w:rsidR="00C37C6C" w:rsidRPr="000B4A67">
        <w:rPr>
          <w:rFonts w:ascii="Tahoma" w:hAnsi="Tahoma" w:cs="Tahoma"/>
        </w:rPr>
        <w:t>за низкое качество оценки физических объемов работ на стадиях ОТР</w:t>
      </w:r>
      <w:r w:rsidR="00E149DB">
        <w:rPr>
          <w:rFonts w:ascii="Tahoma" w:hAnsi="Tahoma" w:cs="Tahoma"/>
        </w:rPr>
        <w:t xml:space="preserve">, </w:t>
      </w:r>
      <w:r w:rsidR="00C37C6C" w:rsidRPr="000B4A67">
        <w:rPr>
          <w:rFonts w:ascii="Tahoma" w:hAnsi="Tahoma" w:cs="Tahoma"/>
        </w:rPr>
        <w:t>ПД</w:t>
      </w:r>
      <w:r w:rsidR="00E149DB">
        <w:rPr>
          <w:rFonts w:ascii="Tahoma" w:hAnsi="Tahoma" w:cs="Tahoma"/>
        </w:rPr>
        <w:t>, РД</w:t>
      </w:r>
      <w:r w:rsidR="00C37C6C" w:rsidRPr="000B4A67">
        <w:rPr>
          <w:rFonts w:ascii="Tahoma" w:hAnsi="Tahoma" w:cs="Tahoma"/>
        </w:rPr>
        <w:t xml:space="preserve">. </w:t>
      </w:r>
      <w:r w:rsidR="00494BE4">
        <w:rPr>
          <w:rFonts w:ascii="Tahoma" w:hAnsi="Tahoma" w:cs="Tahoma"/>
        </w:rPr>
        <w:t xml:space="preserve">Следует отметить, что </w:t>
      </w:r>
      <w:r w:rsidR="000F0A5A">
        <w:rPr>
          <w:rFonts w:ascii="Tahoma" w:hAnsi="Tahoma" w:cs="Tahoma"/>
        </w:rPr>
        <w:t xml:space="preserve">данный </w:t>
      </w:r>
      <w:r w:rsidR="00494BE4">
        <w:rPr>
          <w:rFonts w:ascii="Tahoma" w:hAnsi="Tahoma" w:cs="Tahoma"/>
        </w:rPr>
        <w:t>механизм находится на этапе внедрения (проходит опробование в ЕР-контрактах)</w:t>
      </w:r>
      <w:r w:rsidR="00F43599">
        <w:rPr>
          <w:rFonts w:ascii="Tahoma" w:hAnsi="Tahoma" w:cs="Tahoma"/>
        </w:rPr>
        <w:t xml:space="preserve"> и</w:t>
      </w:r>
      <w:r w:rsidR="00494BE4">
        <w:rPr>
          <w:rFonts w:ascii="Tahoma" w:hAnsi="Tahoma" w:cs="Tahoma"/>
        </w:rPr>
        <w:t xml:space="preserve"> является опциональным</w:t>
      </w:r>
      <w:r w:rsidR="00F43599" w:rsidRPr="00F43599">
        <w:rPr>
          <w:rFonts w:ascii="Tahoma" w:hAnsi="Tahoma" w:cs="Tahoma"/>
        </w:rPr>
        <w:t xml:space="preserve"> </w:t>
      </w:r>
      <w:r w:rsidR="00F43599">
        <w:rPr>
          <w:rFonts w:ascii="Tahoma" w:hAnsi="Tahoma" w:cs="Tahoma"/>
        </w:rPr>
        <w:t>к включению в текст договора на проектирование. Данный подход применяется только в том случае, если одним и тем же проектировщиком выполняется несколько стадий проработки проектных решений</w:t>
      </w:r>
      <w:r w:rsidR="00494BE4">
        <w:rPr>
          <w:rFonts w:ascii="Tahoma" w:hAnsi="Tahoma" w:cs="Tahoma"/>
        </w:rPr>
        <w:t xml:space="preserve"> (например, ОТР и ПД, или ПД и РД, или ТЭО и ОТР, или ОТР, ПД и РД</w:t>
      </w:r>
      <w:r w:rsidR="00F43599">
        <w:rPr>
          <w:rFonts w:ascii="Tahoma" w:hAnsi="Tahoma" w:cs="Tahoma"/>
        </w:rPr>
        <w:t>). При этом контрактация проектировщика может быть выполнена в рамках одного договора, либо отдельными договорами на каждую из стадий.</w:t>
      </w:r>
      <w:r w:rsidR="00073E88">
        <w:rPr>
          <w:rFonts w:ascii="Tahoma" w:hAnsi="Tahoma" w:cs="Tahoma"/>
        </w:rPr>
        <w:t xml:space="preserve"> </w:t>
      </w:r>
    </w:p>
    <w:p w14:paraId="1FE0B5D1" w14:textId="66850F44" w:rsidR="00C37C6C" w:rsidRPr="000B4A67" w:rsidRDefault="00073E88" w:rsidP="00C37C6C">
      <w:pPr>
        <w:autoSpaceDE w:val="0"/>
        <w:autoSpaceDN w:val="0"/>
        <w:spacing w:before="120" w:after="0" w:line="240" w:lineRule="auto"/>
        <w:ind w:firstLine="720"/>
        <w:jc w:val="both"/>
        <w:rPr>
          <w:rFonts w:ascii="Tahoma" w:hAnsi="Tahoma" w:cs="Tahoma"/>
        </w:rPr>
      </w:pPr>
      <w:r>
        <w:rPr>
          <w:rFonts w:ascii="Tahoma" w:hAnsi="Tahoma" w:cs="Tahoma"/>
        </w:rPr>
        <w:t>В рамках вырабатываемого подхода З</w:t>
      </w:r>
      <w:r w:rsidR="00C37C6C" w:rsidRPr="000B4A67">
        <w:rPr>
          <w:rFonts w:ascii="Tahoma" w:hAnsi="Tahoma" w:cs="Tahoma"/>
        </w:rPr>
        <w:t xml:space="preserve">аказчиком </w:t>
      </w:r>
      <w:r w:rsidR="00494BE4">
        <w:rPr>
          <w:rFonts w:ascii="Tahoma" w:hAnsi="Tahoma" w:cs="Tahoma"/>
        </w:rPr>
        <w:t xml:space="preserve">могут </w:t>
      </w:r>
      <w:r w:rsidR="00494BE4" w:rsidRPr="000B4A67">
        <w:rPr>
          <w:rFonts w:ascii="Tahoma" w:hAnsi="Tahoma" w:cs="Tahoma"/>
        </w:rPr>
        <w:t>применя</w:t>
      </w:r>
      <w:r w:rsidR="00494BE4">
        <w:rPr>
          <w:rFonts w:ascii="Tahoma" w:hAnsi="Tahoma" w:cs="Tahoma"/>
        </w:rPr>
        <w:t>ть</w:t>
      </w:r>
      <w:r w:rsidR="00494BE4" w:rsidRPr="000B4A67">
        <w:rPr>
          <w:rFonts w:ascii="Tahoma" w:hAnsi="Tahoma" w:cs="Tahoma"/>
        </w:rPr>
        <w:t xml:space="preserve">ся </w:t>
      </w:r>
      <w:r w:rsidR="00C37C6C" w:rsidRPr="000B4A67">
        <w:rPr>
          <w:rFonts w:ascii="Tahoma" w:hAnsi="Tahoma" w:cs="Tahoma"/>
        </w:rPr>
        <w:t>два механизма определения границ допустимого увеличения физ</w:t>
      </w:r>
      <w:r w:rsidR="00D0243B">
        <w:rPr>
          <w:rFonts w:ascii="Tahoma" w:hAnsi="Tahoma" w:cs="Tahoma"/>
        </w:rPr>
        <w:t xml:space="preserve">ических </w:t>
      </w:r>
      <w:r w:rsidR="00C37C6C" w:rsidRPr="000B4A67">
        <w:rPr>
          <w:rFonts w:ascii="Tahoma" w:hAnsi="Tahoma" w:cs="Tahoma"/>
        </w:rPr>
        <w:t>объемов работ</w:t>
      </w:r>
      <w:r w:rsidR="00BF7BA5">
        <w:rPr>
          <w:rFonts w:ascii="Tahoma" w:hAnsi="Tahoma" w:cs="Tahoma"/>
        </w:rPr>
        <w:t xml:space="preserve"> </w:t>
      </w:r>
      <w:r w:rsidR="00BF7BA5" w:rsidRPr="000B4A67">
        <w:rPr>
          <w:rFonts w:ascii="Tahoma" w:hAnsi="Tahoma" w:cs="Tahoma"/>
        </w:rPr>
        <w:t xml:space="preserve">при переходе </w:t>
      </w:r>
      <w:r w:rsidR="00BF7BA5">
        <w:rPr>
          <w:rFonts w:ascii="Tahoma" w:hAnsi="Tahoma" w:cs="Tahoma"/>
        </w:rPr>
        <w:t>между стадиями проектирования – так называемой поправки на точность оценки физ</w:t>
      </w:r>
      <w:r w:rsidR="00D0243B">
        <w:rPr>
          <w:rFonts w:ascii="Tahoma" w:hAnsi="Tahoma" w:cs="Tahoma"/>
        </w:rPr>
        <w:t xml:space="preserve">ических </w:t>
      </w:r>
      <w:r w:rsidR="00BF7BA5">
        <w:rPr>
          <w:rFonts w:ascii="Tahoma" w:hAnsi="Tahoma" w:cs="Tahoma"/>
        </w:rPr>
        <w:t>объемов</w:t>
      </w:r>
      <w:r w:rsidR="00C37C6C" w:rsidRPr="000B4A67">
        <w:rPr>
          <w:rFonts w:ascii="Tahoma" w:hAnsi="Tahoma" w:cs="Tahoma"/>
        </w:rPr>
        <w:t>:</w:t>
      </w:r>
    </w:p>
    <w:p w14:paraId="0AABDAC9" w14:textId="77777777" w:rsidR="00C37C6C" w:rsidRPr="000B4A67" w:rsidRDefault="00C37C6C" w:rsidP="00C37C6C">
      <w:pPr>
        <w:pStyle w:val="a3"/>
        <w:numPr>
          <w:ilvl w:val="0"/>
          <w:numId w:val="7"/>
        </w:numPr>
        <w:rPr>
          <w:rFonts w:cs="Tahoma"/>
          <w:color w:val="000000" w:themeColor="text1"/>
          <w:szCs w:val="22"/>
          <w:lang w:val="ru-RU"/>
        </w:rPr>
      </w:pPr>
      <w:r w:rsidRPr="000B4A67">
        <w:rPr>
          <w:rFonts w:cs="Tahoma"/>
          <w:color w:val="000000" w:themeColor="text1"/>
          <w:szCs w:val="22"/>
          <w:lang w:val="ru-RU"/>
        </w:rPr>
        <w:lastRenderedPageBreak/>
        <w:t>Директивно устанавливаемый Заказчиком процент;</w:t>
      </w:r>
    </w:p>
    <w:p w14:paraId="7DF50BE9" w14:textId="77777777" w:rsidR="00C37C6C" w:rsidRPr="000B4A67" w:rsidRDefault="00C37C6C" w:rsidP="00C37C6C">
      <w:pPr>
        <w:pStyle w:val="a3"/>
        <w:numPr>
          <w:ilvl w:val="0"/>
          <w:numId w:val="7"/>
        </w:numPr>
        <w:rPr>
          <w:rFonts w:cs="Tahoma"/>
          <w:color w:val="000000" w:themeColor="text1"/>
          <w:szCs w:val="22"/>
          <w:lang w:val="ru-RU"/>
        </w:rPr>
      </w:pPr>
      <w:r w:rsidRPr="000B4A67">
        <w:rPr>
          <w:rFonts w:cs="Tahoma"/>
          <w:color w:val="000000" w:themeColor="text1"/>
          <w:szCs w:val="22"/>
          <w:lang w:val="ru-RU"/>
        </w:rPr>
        <w:t>Процент, определяемый проектировщиком самостоятельно, с учетом условий выполнения ПИР (сроки, содержание ТЗ, объем исходных данных, бюджет на ПИР)</w:t>
      </w:r>
    </w:p>
    <w:p w14:paraId="737C9135" w14:textId="27D72CE1" w:rsidR="00BF7BA5" w:rsidRDefault="00C37C6C" w:rsidP="00BF7BA5">
      <w:pPr>
        <w:autoSpaceDE w:val="0"/>
        <w:autoSpaceDN w:val="0"/>
        <w:spacing w:before="240" w:after="0" w:line="240" w:lineRule="auto"/>
        <w:ind w:firstLine="720"/>
        <w:jc w:val="both"/>
        <w:rPr>
          <w:rFonts w:ascii="Tahoma" w:hAnsi="Tahoma" w:cs="Tahoma"/>
        </w:rPr>
      </w:pPr>
      <w:r w:rsidRPr="000B4A67">
        <w:rPr>
          <w:rFonts w:ascii="Tahoma" w:hAnsi="Tahoma" w:cs="Tahoma"/>
        </w:rPr>
        <w:t>В</w:t>
      </w:r>
      <w:r w:rsidR="00BF7BA5">
        <w:rPr>
          <w:rFonts w:ascii="Tahoma" w:hAnsi="Tahoma" w:cs="Tahoma"/>
        </w:rPr>
        <w:t xml:space="preserve"> первом случае Заказчик устанавливает в тексте договора предельное</w:t>
      </w:r>
      <w:r w:rsidR="00BF7BA5" w:rsidRPr="000B4A67">
        <w:rPr>
          <w:rFonts w:ascii="Tahoma" w:hAnsi="Tahoma" w:cs="Tahoma"/>
        </w:rPr>
        <w:t xml:space="preserve"> значение поправки (совокупное для всех объемов проекта)</w:t>
      </w:r>
      <w:r w:rsidR="00967D35">
        <w:rPr>
          <w:rFonts w:ascii="Tahoma" w:hAnsi="Tahoma" w:cs="Tahoma"/>
        </w:rPr>
        <w:t xml:space="preserve"> в размере согласно таблице ниже. Значения поправок в данной таблице определены исходя из зафиксированных в НМД Компании норм непредвиденных затрат, с учетом исключения из этих норм ценовых рисков.</w:t>
      </w:r>
    </w:p>
    <w:p w14:paraId="04E18903" w14:textId="77777777" w:rsidR="00967D35" w:rsidRPr="000B4A67" w:rsidRDefault="00967D35" w:rsidP="00BF7BA5">
      <w:pPr>
        <w:autoSpaceDE w:val="0"/>
        <w:autoSpaceDN w:val="0"/>
        <w:spacing w:before="240" w:after="0" w:line="240" w:lineRule="auto"/>
        <w:ind w:firstLine="720"/>
        <w:jc w:val="both"/>
        <w:rPr>
          <w:rFonts w:ascii="Tahoma" w:hAnsi="Tahoma" w:cs="Tahoma"/>
        </w:rPr>
      </w:pPr>
    </w:p>
    <w:tbl>
      <w:tblPr>
        <w:tblStyle w:val="a5"/>
        <w:tblW w:w="0" w:type="auto"/>
        <w:tblLook w:val="04A0" w:firstRow="1" w:lastRow="0" w:firstColumn="1" w:lastColumn="0" w:noHBand="0" w:noVBand="1"/>
      </w:tblPr>
      <w:tblGrid>
        <w:gridCol w:w="2509"/>
        <w:gridCol w:w="1709"/>
        <w:gridCol w:w="1709"/>
        <w:gridCol w:w="1701"/>
        <w:gridCol w:w="1717"/>
      </w:tblGrid>
      <w:tr w:rsidR="00BF7BA5" w:rsidRPr="000B4A67" w14:paraId="0D5041BD" w14:textId="77777777" w:rsidTr="00B61C00">
        <w:trPr>
          <w:trHeight w:val="557"/>
        </w:trPr>
        <w:tc>
          <w:tcPr>
            <w:tcW w:w="2547" w:type="dxa"/>
            <w:tcBorders>
              <w:top w:val="single" w:sz="4" w:space="0" w:color="auto"/>
              <w:left w:val="single" w:sz="4" w:space="0" w:color="auto"/>
              <w:bottom w:val="nil"/>
              <w:right w:val="single" w:sz="4" w:space="0" w:color="auto"/>
              <w:tl2br w:val="nil"/>
            </w:tcBorders>
            <w:shd w:val="clear" w:color="auto" w:fill="00338D"/>
          </w:tcPr>
          <w:p w14:paraId="0CDB9552" w14:textId="77777777" w:rsidR="00BF7BA5" w:rsidRPr="00F5358F" w:rsidRDefault="00BF7BA5" w:rsidP="00B61C00">
            <w:pPr>
              <w:jc w:val="right"/>
              <w:rPr>
                <w:rFonts w:ascii="Tahoma" w:hAnsi="Tahoma" w:cs="Tahoma"/>
                <w:b/>
                <w:color w:val="FFFFFF" w:themeColor="background1"/>
                <w:lang w:val="ru-RU"/>
              </w:rPr>
            </w:pPr>
            <w:r w:rsidRPr="00F5358F">
              <w:rPr>
                <w:rFonts w:ascii="Tahoma" w:hAnsi="Tahoma" w:cs="Tahoma"/>
                <w:b/>
                <w:bCs/>
                <w:noProof/>
                <w:color w:val="FFFFFF" w:themeColor="background1"/>
                <w:lang w:eastAsia="ru-RU"/>
              </w:rPr>
              <mc:AlternateContent>
                <mc:Choice Requires="wps">
                  <w:drawing>
                    <wp:anchor distT="0" distB="0" distL="114300" distR="114300" simplePos="0" relativeHeight="251661312" behindDoc="0" locked="0" layoutInCell="1" allowOverlap="1" wp14:anchorId="201BAE05" wp14:editId="60EFA924">
                      <wp:simplePos x="0" y="0"/>
                      <wp:positionH relativeFrom="column">
                        <wp:posOffset>-66040</wp:posOffset>
                      </wp:positionH>
                      <wp:positionV relativeFrom="paragraph">
                        <wp:posOffset>12700</wp:posOffset>
                      </wp:positionV>
                      <wp:extent cx="1619250" cy="609600"/>
                      <wp:effectExtent l="0" t="0" r="19050" b="19050"/>
                      <wp:wrapNone/>
                      <wp:docPr id="2" name="Straight Connector 3"/>
                      <wp:cNvGraphicFramePr/>
                      <a:graphic xmlns:a="http://schemas.openxmlformats.org/drawingml/2006/main">
                        <a:graphicData uri="http://schemas.microsoft.com/office/word/2010/wordprocessingShape">
                          <wps:wsp>
                            <wps:cNvCnPr/>
                            <wps:spPr>
                              <a:xfrm>
                                <a:off x="0" y="0"/>
                                <a:ext cx="1619250" cy="609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F80D6E"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pt,1pt" to="122.3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" strokecolor="black [3200]" strokeweight=".5pt">
                      <v:stroke joinstyle="miter"/>
                    </v:line>
                  </w:pict>
                </mc:Fallback>
              </mc:AlternateContent>
            </w:r>
            <w:r w:rsidRPr="00F5358F">
              <w:rPr>
                <w:rFonts w:ascii="Tahoma" w:hAnsi="Tahoma" w:cs="Tahoma"/>
                <w:b/>
                <w:bCs/>
                <w:color w:val="FFFFFF" w:themeColor="background1"/>
                <w:lang w:val="ru-RU"/>
              </w:rPr>
              <w:t xml:space="preserve"> </w:t>
            </w:r>
            <w:r w:rsidRPr="00F5358F">
              <w:rPr>
                <w:rFonts w:ascii="Tahoma" w:hAnsi="Tahoma" w:cs="Tahoma"/>
                <w:b/>
                <w:color w:val="FFFFFF" w:themeColor="background1"/>
                <w:lang w:val="ru-RU"/>
              </w:rPr>
              <w:t xml:space="preserve">Начальная </w:t>
            </w:r>
          </w:p>
          <w:p w14:paraId="5EFC1007" w14:textId="77777777" w:rsidR="00BF7BA5" w:rsidRPr="00F5358F" w:rsidRDefault="00BF7BA5" w:rsidP="00B61C00">
            <w:pPr>
              <w:jc w:val="right"/>
              <w:rPr>
                <w:rFonts w:ascii="Tahoma" w:hAnsi="Tahoma" w:cs="Tahoma"/>
                <w:b/>
                <w:color w:val="FFFFFF" w:themeColor="background1"/>
                <w:lang w:val="ru-RU"/>
              </w:rPr>
            </w:pPr>
            <w:r w:rsidRPr="00F5358F">
              <w:rPr>
                <w:rFonts w:ascii="Tahoma" w:hAnsi="Tahoma" w:cs="Tahoma"/>
                <w:b/>
                <w:color w:val="FFFFFF" w:themeColor="background1"/>
                <w:lang w:val="ru-RU"/>
              </w:rPr>
              <w:t>стадия</w:t>
            </w:r>
          </w:p>
        </w:tc>
        <w:tc>
          <w:tcPr>
            <w:tcW w:w="1783" w:type="dxa"/>
            <w:vMerge w:val="restart"/>
            <w:tcBorders>
              <w:left w:val="single" w:sz="4" w:space="0" w:color="auto"/>
            </w:tcBorders>
            <w:shd w:val="clear" w:color="auto" w:fill="00338D"/>
            <w:vAlign w:val="center"/>
          </w:tcPr>
          <w:p w14:paraId="06FFC0F3" w14:textId="77777777" w:rsidR="00BF7BA5" w:rsidRPr="00F5358F" w:rsidRDefault="00BF7BA5" w:rsidP="00B61C00">
            <w:pPr>
              <w:jc w:val="center"/>
              <w:rPr>
                <w:rFonts w:ascii="Tahoma" w:hAnsi="Tahoma" w:cs="Tahoma"/>
                <w:b/>
                <w:color w:val="FFFFFF" w:themeColor="background1"/>
                <w:lang w:val="ru-RU"/>
              </w:rPr>
            </w:pPr>
            <w:r w:rsidRPr="00F5358F">
              <w:rPr>
                <w:rFonts w:ascii="Tahoma" w:hAnsi="Tahoma" w:cs="Tahoma"/>
                <w:b/>
                <w:color w:val="FFFFFF" w:themeColor="background1"/>
                <w:lang w:val="ru-RU"/>
              </w:rPr>
              <w:t>ТЭО</w:t>
            </w:r>
          </w:p>
        </w:tc>
        <w:tc>
          <w:tcPr>
            <w:tcW w:w="1783" w:type="dxa"/>
            <w:vMerge w:val="restart"/>
            <w:shd w:val="clear" w:color="auto" w:fill="00338D"/>
            <w:vAlign w:val="center"/>
          </w:tcPr>
          <w:p w14:paraId="1C99ED0A" w14:textId="77777777" w:rsidR="00BF7BA5" w:rsidRPr="00F5358F" w:rsidRDefault="00BF7BA5" w:rsidP="00B61C00">
            <w:pPr>
              <w:jc w:val="center"/>
              <w:rPr>
                <w:rFonts w:ascii="Tahoma" w:hAnsi="Tahoma" w:cs="Tahoma"/>
                <w:b/>
                <w:color w:val="FFFFFF" w:themeColor="background1"/>
                <w:lang w:val="ru-RU"/>
              </w:rPr>
            </w:pPr>
            <w:r w:rsidRPr="00F5358F">
              <w:rPr>
                <w:rFonts w:ascii="Tahoma" w:hAnsi="Tahoma" w:cs="Tahoma"/>
                <w:b/>
                <w:color w:val="FFFFFF" w:themeColor="background1"/>
                <w:lang w:val="ru-RU"/>
              </w:rPr>
              <w:t>ОТР</w:t>
            </w:r>
          </w:p>
        </w:tc>
        <w:tc>
          <w:tcPr>
            <w:tcW w:w="1783" w:type="dxa"/>
            <w:vMerge w:val="restart"/>
            <w:shd w:val="clear" w:color="auto" w:fill="00338D"/>
            <w:vAlign w:val="center"/>
          </w:tcPr>
          <w:p w14:paraId="58276C67" w14:textId="77777777" w:rsidR="00BF7BA5" w:rsidRPr="00F5358F" w:rsidRDefault="00BF7BA5" w:rsidP="00B61C00">
            <w:pPr>
              <w:jc w:val="center"/>
              <w:rPr>
                <w:rFonts w:ascii="Tahoma" w:hAnsi="Tahoma" w:cs="Tahoma"/>
                <w:b/>
                <w:color w:val="FFFFFF" w:themeColor="background1"/>
                <w:lang w:val="ru-RU"/>
              </w:rPr>
            </w:pPr>
            <w:r w:rsidRPr="00F5358F">
              <w:rPr>
                <w:rFonts w:ascii="Tahoma" w:hAnsi="Tahoma" w:cs="Tahoma"/>
                <w:b/>
                <w:color w:val="FFFFFF" w:themeColor="background1"/>
                <w:lang w:val="ru-RU"/>
              </w:rPr>
              <w:t>ПД</w:t>
            </w:r>
          </w:p>
        </w:tc>
        <w:tc>
          <w:tcPr>
            <w:tcW w:w="1783" w:type="dxa"/>
            <w:vMerge w:val="restart"/>
            <w:shd w:val="clear" w:color="auto" w:fill="00338D"/>
            <w:vAlign w:val="center"/>
          </w:tcPr>
          <w:p w14:paraId="7B76881A" w14:textId="77777777" w:rsidR="00BF7BA5" w:rsidRPr="00F5358F" w:rsidRDefault="00BF7BA5" w:rsidP="00B61C00">
            <w:pPr>
              <w:jc w:val="center"/>
              <w:rPr>
                <w:rFonts w:ascii="Tahoma" w:hAnsi="Tahoma" w:cs="Tahoma"/>
                <w:b/>
                <w:color w:val="FFFFFF" w:themeColor="background1"/>
                <w:lang w:val="ru-RU"/>
              </w:rPr>
            </w:pPr>
            <w:r w:rsidRPr="00F5358F">
              <w:rPr>
                <w:rFonts w:ascii="Tahoma" w:hAnsi="Tahoma" w:cs="Tahoma"/>
                <w:b/>
                <w:color w:val="FFFFFF" w:themeColor="background1"/>
                <w:lang w:val="ru-RU"/>
              </w:rPr>
              <w:t>Факт</w:t>
            </w:r>
          </w:p>
        </w:tc>
      </w:tr>
      <w:tr w:rsidR="00BF7BA5" w:rsidRPr="000B4A67" w14:paraId="03C05F41" w14:textId="77777777" w:rsidTr="00B61C00">
        <w:trPr>
          <w:trHeight w:val="667"/>
        </w:trPr>
        <w:tc>
          <w:tcPr>
            <w:tcW w:w="2547" w:type="dxa"/>
            <w:tcBorders>
              <w:top w:val="nil"/>
              <w:left w:val="single" w:sz="4" w:space="0" w:color="auto"/>
              <w:bottom w:val="single" w:sz="4" w:space="0" w:color="auto"/>
              <w:right w:val="single" w:sz="4" w:space="0" w:color="auto"/>
              <w:tl2br w:val="nil"/>
            </w:tcBorders>
            <w:shd w:val="clear" w:color="auto" w:fill="00338D"/>
            <w:vAlign w:val="center"/>
          </w:tcPr>
          <w:p w14:paraId="5AF69F8A" w14:textId="77777777" w:rsidR="00BF7BA5" w:rsidRPr="000B4A67" w:rsidRDefault="00BF7BA5" w:rsidP="00B61C00">
            <w:pPr>
              <w:ind w:left="-30"/>
              <w:rPr>
                <w:rFonts w:ascii="Tahoma" w:hAnsi="Tahoma" w:cs="Tahoma"/>
                <w:b/>
                <w:bCs/>
                <w:color w:val="FFFFFF" w:themeColor="background1"/>
                <w:lang w:val="ru-RU"/>
              </w:rPr>
            </w:pPr>
            <w:r w:rsidRPr="000B4A67">
              <w:rPr>
                <w:rFonts w:ascii="Tahoma" w:hAnsi="Tahoma" w:cs="Tahoma"/>
                <w:b/>
                <w:bCs/>
                <w:color w:val="FFFFFF" w:themeColor="background1"/>
                <w:lang w:val="ru-RU"/>
              </w:rPr>
              <w:t>Окончательная</w:t>
            </w:r>
          </w:p>
          <w:p w14:paraId="42534D98" w14:textId="77777777" w:rsidR="00BF7BA5" w:rsidRPr="000B4A67" w:rsidRDefault="00BF7BA5" w:rsidP="00B61C00">
            <w:pPr>
              <w:ind w:left="-30"/>
              <w:rPr>
                <w:rFonts w:ascii="Tahoma" w:hAnsi="Tahoma" w:cs="Tahoma"/>
                <w:b/>
                <w:bCs/>
                <w:color w:val="FFFFFF" w:themeColor="background1"/>
                <w:lang w:val="ru-RU"/>
              </w:rPr>
            </w:pPr>
            <w:r w:rsidRPr="000B4A67">
              <w:rPr>
                <w:rFonts w:ascii="Tahoma" w:hAnsi="Tahoma" w:cs="Tahoma"/>
                <w:b/>
                <w:bCs/>
                <w:color w:val="FFFFFF" w:themeColor="background1"/>
                <w:lang w:val="ru-RU"/>
              </w:rPr>
              <w:t>стадия по договору</w:t>
            </w:r>
          </w:p>
        </w:tc>
        <w:tc>
          <w:tcPr>
            <w:tcW w:w="1783" w:type="dxa"/>
            <w:vMerge/>
            <w:tcBorders>
              <w:left w:val="single" w:sz="4" w:space="0" w:color="auto"/>
            </w:tcBorders>
            <w:shd w:val="clear" w:color="auto" w:fill="00338D"/>
            <w:vAlign w:val="center"/>
          </w:tcPr>
          <w:p w14:paraId="10D49F9B" w14:textId="77777777" w:rsidR="00BF7BA5" w:rsidRPr="000B4A67" w:rsidRDefault="00BF7BA5" w:rsidP="00B61C00">
            <w:pPr>
              <w:jc w:val="center"/>
              <w:rPr>
                <w:rFonts w:ascii="Tahoma" w:hAnsi="Tahoma" w:cs="Tahoma"/>
                <w:b/>
                <w:bCs/>
                <w:color w:val="FFFFFF" w:themeColor="background1"/>
                <w:lang w:val="ru-RU"/>
              </w:rPr>
            </w:pPr>
          </w:p>
        </w:tc>
        <w:tc>
          <w:tcPr>
            <w:tcW w:w="1783" w:type="dxa"/>
            <w:vMerge/>
            <w:shd w:val="clear" w:color="auto" w:fill="00338D"/>
            <w:vAlign w:val="center"/>
          </w:tcPr>
          <w:p w14:paraId="47FBB98D" w14:textId="77777777" w:rsidR="00BF7BA5" w:rsidRPr="000B4A67" w:rsidDel="008076FD" w:rsidRDefault="00BF7BA5" w:rsidP="00B61C00">
            <w:pPr>
              <w:jc w:val="center"/>
              <w:rPr>
                <w:rFonts w:ascii="Tahoma" w:hAnsi="Tahoma" w:cs="Tahoma"/>
                <w:b/>
                <w:bCs/>
                <w:color w:val="FFFFFF" w:themeColor="background1"/>
                <w:lang w:val="ru-RU"/>
              </w:rPr>
            </w:pPr>
          </w:p>
        </w:tc>
        <w:tc>
          <w:tcPr>
            <w:tcW w:w="1783" w:type="dxa"/>
            <w:vMerge/>
            <w:shd w:val="clear" w:color="auto" w:fill="00338D"/>
            <w:vAlign w:val="center"/>
          </w:tcPr>
          <w:p w14:paraId="1F0A3190" w14:textId="77777777" w:rsidR="00BF7BA5" w:rsidRPr="000B4A67" w:rsidDel="008076FD" w:rsidRDefault="00BF7BA5" w:rsidP="00B61C00">
            <w:pPr>
              <w:jc w:val="center"/>
              <w:rPr>
                <w:rFonts w:ascii="Tahoma" w:hAnsi="Tahoma" w:cs="Tahoma"/>
                <w:b/>
                <w:bCs/>
                <w:color w:val="FFFFFF" w:themeColor="background1"/>
                <w:lang w:val="ru-RU"/>
              </w:rPr>
            </w:pPr>
          </w:p>
        </w:tc>
        <w:tc>
          <w:tcPr>
            <w:tcW w:w="1783" w:type="dxa"/>
            <w:vMerge/>
            <w:shd w:val="clear" w:color="auto" w:fill="00338D"/>
            <w:vAlign w:val="center"/>
          </w:tcPr>
          <w:p w14:paraId="651C24E5" w14:textId="77777777" w:rsidR="00BF7BA5" w:rsidRPr="000B4A67" w:rsidDel="008076FD" w:rsidRDefault="00BF7BA5" w:rsidP="00B61C00">
            <w:pPr>
              <w:jc w:val="center"/>
              <w:rPr>
                <w:rFonts w:ascii="Tahoma" w:hAnsi="Tahoma" w:cs="Tahoma"/>
                <w:b/>
                <w:bCs/>
                <w:color w:val="FFFFFF" w:themeColor="background1"/>
                <w:lang w:val="ru-RU"/>
              </w:rPr>
            </w:pPr>
          </w:p>
        </w:tc>
      </w:tr>
      <w:tr w:rsidR="00BF7BA5" w:rsidRPr="000B4A67" w14:paraId="18D55251" w14:textId="77777777" w:rsidTr="00B61C00">
        <w:trPr>
          <w:trHeight w:val="20"/>
        </w:trPr>
        <w:tc>
          <w:tcPr>
            <w:tcW w:w="2547" w:type="dxa"/>
            <w:tcBorders>
              <w:top w:val="single" w:sz="4" w:space="0" w:color="auto"/>
            </w:tcBorders>
            <w:vAlign w:val="center"/>
          </w:tcPr>
          <w:p w14:paraId="0612EFF9"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ТЭО</w:t>
            </w:r>
          </w:p>
        </w:tc>
        <w:tc>
          <w:tcPr>
            <w:tcW w:w="1783" w:type="dxa"/>
            <w:vAlign w:val="center"/>
          </w:tcPr>
          <w:p w14:paraId="1F8CCF24"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w:t>
            </w:r>
          </w:p>
        </w:tc>
        <w:tc>
          <w:tcPr>
            <w:tcW w:w="1783" w:type="dxa"/>
            <w:vAlign w:val="center"/>
          </w:tcPr>
          <w:p w14:paraId="77F36DF1"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w:t>
            </w:r>
          </w:p>
        </w:tc>
        <w:tc>
          <w:tcPr>
            <w:tcW w:w="1783" w:type="dxa"/>
            <w:vAlign w:val="center"/>
          </w:tcPr>
          <w:p w14:paraId="50CDBCE6"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w:t>
            </w:r>
          </w:p>
        </w:tc>
        <w:tc>
          <w:tcPr>
            <w:tcW w:w="1783" w:type="dxa"/>
            <w:vAlign w:val="center"/>
          </w:tcPr>
          <w:p w14:paraId="7FD49140"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w:t>
            </w:r>
          </w:p>
        </w:tc>
      </w:tr>
      <w:tr w:rsidR="00BF7BA5" w:rsidRPr="000B4A67" w14:paraId="5287D426" w14:textId="77777777" w:rsidTr="00B61C00">
        <w:trPr>
          <w:trHeight w:val="20"/>
        </w:trPr>
        <w:tc>
          <w:tcPr>
            <w:tcW w:w="2547" w:type="dxa"/>
            <w:vAlign w:val="center"/>
          </w:tcPr>
          <w:p w14:paraId="4AC3AFE3"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ОТР</w:t>
            </w:r>
          </w:p>
        </w:tc>
        <w:tc>
          <w:tcPr>
            <w:tcW w:w="1783" w:type="dxa"/>
            <w:vAlign w:val="center"/>
          </w:tcPr>
          <w:p w14:paraId="503F75B9"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10%</w:t>
            </w:r>
          </w:p>
        </w:tc>
        <w:tc>
          <w:tcPr>
            <w:tcW w:w="1783" w:type="dxa"/>
            <w:vAlign w:val="center"/>
          </w:tcPr>
          <w:p w14:paraId="2D942761"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w:t>
            </w:r>
          </w:p>
        </w:tc>
        <w:tc>
          <w:tcPr>
            <w:tcW w:w="1783" w:type="dxa"/>
            <w:vAlign w:val="center"/>
          </w:tcPr>
          <w:p w14:paraId="27B780AB"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w:t>
            </w:r>
          </w:p>
        </w:tc>
        <w:tc>
          <w:tcPr>
            <w:tcW w:w="1783" w:type="dxa"/>
            <w:vAlign w:val="center"/>
          </w:tcPr>
          <w:p w14:paraId="45CFDE16"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w:t>
            </w:r>
          </w:p>
        </w:tc>
      </w:tr>
      <w:tr w:rsidR="00BF7BA5" w:rsidRPr="000B4A67" w14:paraId="7EA49AF3" w14:textId="77777777" w:rsidTr="00B61C00">
        <w:trPr>
          <w:trHeight w:val="20"/>
        </w:trPr>
        <w:tc>
          <w:tcPr>
            <w:tcW w:w="2547" w:type="dxa"/>
            <w:vAlign w:val="center"/>
          </w:tcPr>
          <w:p w14:paraId="3FE28DB2"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ПД</w:t>
            </w:r>
          </w:p>
        </w:tc>
        <w:tc>
          <w:tcPr>
            <w:tcW w:w="1783" w:type="dxa"/>
            <w:vAlign w:val="center"/>
          </w:tcPr>
          <w:p w14:paraId="7162C1F9"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18%</w:t>
            </w:r>
          </w:p>
        </w:tc>
        <w:tc>
          <w:tcPr>
            <w:tcW w:w="1783" w:type="dxa"/>
            <w:vAlign w:val="center"/>
          </w:tcPr>
          <w:p w14:paraId="74B86544"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8%</w:t>
            </w:r>
          </w:p>
        </w:tc>
        <w:tc>
          <w:tcPr>
            <w:tcW w:w="1783" w:type="dxa"/>
            <w:vAlign w:val="center"/>
          </w:tcPr>
          <w:p w14:paraId="6111CCA0"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w:t>
            </w:r>
          </w:p>
        </w:tc>
        <w:tc>
          <w:tcPr>
            <w:tcW w:w="1783" w:type="dxa"/>
            <w:vAlign w:val="center"/>
          </w:tcPr>
          <w:p w14:paraId="02E3F7C3"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w:t>
            </w:r>
          </w:p>
        </w:tc>
      </w:tr>
      <w:tr w:rsidR="00BF7BA5" w:rsidRPr="000B4A67" w14:paraId="69709BF3" w14:textId="77777777" w:rsidTr="00B61C00">
        <w:trPr>
          <w:trHeight w:val="20"/>
        </w:trPr>
        <w:tc>
          <w:tcPr>
            <w:tcW w:w="2547" w:type="dxa"/>
            <w:vAlign w:val="center"/>
          </w:tcPr>
          <w:p w14:paraId="0BD95571"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Факт</w:t>
            </w:r>
          </w:p>
        </w:tc>
        <w:tc>
          <w:tcPr>
            <w:tcW w:w="1783" w:type="dxa"/>
            <w:vAlign w:val="center"/>
          </w:tcPr>
          <w:p w14:paraId="2BAF8F84"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25%</w:t>
            </w:r>
          </w:p>
        </w:tc>
        <w:tc>
          <w:tcPr>
            <w:tcW w:w="1783" w:type="dxa"/>
            <w:vAlign w:val="center"/>
          </w:tcPr>
          <w:p w14:paraId="09218F07"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15%</w:t>
            </w:r>
          </w:p>
        </w:tc>
        <w:tc>
          <w:tcPr>
            <w:tcW w:w="1783" w:type="dxa"/>
            <w:vAlign w:val="center"/>
          </w:tcPr>
          <w:p w14:paraId="6778AB60"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7%</w:t>
            </w:r>
          </w:p>
        </w:tc>
        <w:tc>
          <w:tcPr>
            <w:tcW w:w="1783" w:type="dxa"/>
            <w:vAlign w:val="center"/>
          </w:tcPr>
          <w:p w14:paraId="1B5365AF" w14:textId="77777777" w:rsidR="00BF7BA5" w:rsidRPr="000B4A67" w:rsidRDefault="00BF7BA5" w:rsidP="00B61C00">
            <w:pPr>
              <w:jc w:val="center"/>
              <w:rPr>
                <w:rFonts w:ascii="Tahoma" w:hAnsi="Tahoma" w:cs="Tahoma"/>
                <w:color w:val="000000" w:themeColor="text1"/>
                <w:lang w:val="ru-RU"/>
              </w:rPr>
            </w:pPr>
            <w:r w:rsidRPr="000B4A67">
              <w:rPr>
                <w:rFonts w:ascii="Tahoma" w:hAnsi="Tahoma" w:cs="Tahoma"/>
                <w:color w:val="000000" w:themeColor="text1"/>
                <w:lang w:val="ru-RU"/>
              </w:rPr>
              <w:t>--</w:t>
            </w:r>
          </w:p>
        </w:tc>
      </w:tr>
    </w:tbl>
    <w:p w14:paraId="3CD6E101" w14:textId="295E7875" w:rsidR="00C37C6C" w:rsidRPr="000B4A67" w:rsidRDefault="00BF7BA5" w:rsidP="00B12A21">
      <w:pPr>
        <w:autoSpaceDE w:val="0"/>
        <w:autoSpaceDN w:val="0"/>
        <w:spacing w:before="240" w:after="0" w:line="240" w:lineRule="auto"/>
        <w:ind w:firstLine="720"/>
        <w:jc w:val="both"/>
        <w:rPr>
          <w:rFonts w:ascii="Tahoma" w:hAnsi="Tahoma" w:cs="Tahoma"/>
        </w:rPr>
      </w:pPr>
      <w:r>
        <w:rPr>
          <w:rFonts w:ascii="Tahoma" w:hAnsi="Tahoma" w:cs="Tahoma"/>
        </w:rPr>
        <w:t>В</w:t>
      </w:r>
      <w:r w:rsidR="00494BE4">
        <w:rPr>
          <w:rFonts w:ascii="Tahoma" w:hAnsi="Tahoma" w:cs="Tahoma"/>
        </w:rPr>
        <w:t>о втором случае в</w:t>
      </w:r>
      <w:r w:rsidR="00C37C6C" w:rsidRPr="000B4A67">
        <w:rPr>
          <w:rFonts w:ascii="Tahoma" w:hAnsi="Tahoma" w:cs="Tahoma"/>
        </w:rPr>
        <w:t xml:space="preserve">еличина поправки на точность оценки физических объемов работ </w:t>
      </w:r>
      <w:r w:rsidR="00967D35">
        <w:rPr>
          <w:rFonts w:ascii="Tahoma" w:hAnsi="Tahoma" w:cs="Tahoma"/>
        </w:rPr>
        <w:t xml:space="preserve">оценивается </w:t>
      </w:r>
      <w:r w:rsidR="00C37C6C" w:rsidRPr="000B4A67">
        <w:rPr>
          <w:rFonts w:ascii="Tahoma" w:hAnsi="Tahoma" w:cs="Tahoma"/>
        </w:rPr>
        <w:t xml:space="preserve">Исполнителем и служит для фиксации гарантий на точность инжиниринга, исходя из пессимистичной оценки подрядчика, касаемо изменений физических объемов работ. Для определения величины поправки на степень точности Проектировщик / EPC-подрядчик </w:t>
      </w:r>
      <w:r w:rsidR="00967D35">
        <w:rPr>
          <w:rFonts w:ascii="Tahoma" w:hAnsi="Tahoma" w:cs="Tahoma"/>
        </w:rPr>
        <w:t xml:space="preserve">должен придерживаться </w:t>
      </w:r>
      <w:r w:rsidR="00C37C6C" w:rsidRPr="000B4A67">
        <w:rPr>
          <w:rFonts w:ascii="Tahoma" w:hAnsi="Tahoma" w:cs="Tahoma"/>
        </w:rPr>
        <w:t>классификаци</w:t>
      </w:r>
      <w:r w:rsidR="00967D35">
        <w:rPr>
          <w:rFonts w:ascii="Tahoma" w:hAnsi="Tahoma" w:cs="Tahoma"/>
        </w:rPr>
        <w:t>и</w:t>
      </w:r>
      <w:r w:rsidR="00C37C6C" w:rsidRPr="000B4A67">
        <w:rPr>
          <w:rFonts w:ascii="Tahoma" w:hAnsi="Tahoma" w:cs="Tahoma"/>
        </w:rPr>
        <w:t xml:space="preserve"> классов точности оценки ААСЕ аналогичную классификации, приведенной в стандарте 18R-97 (AACE International Recommended Practice No. 18R-97 «Cost Estimate Classification System – As Applied in Engineering, Procurement and Construction for the Process In-dustries). </w:t>
      </w:r>
    </w:p>
    <w:p w14:paraId="1A82CAD8" w14:textId="283FE1C5" w:rsidR="00C37C6C" w:rsidRDefault="00C37C6C" w:rsidP="00B12A21">
      <w:pPr>
        <w:pStyle w:val="a3"/>
        <w:spacing w:before="240" w:after="0"/>
        <w:ind w:left="0"/>
        <w:rPr>
          <w:rFonts w:cs="Tahoma"/>
          <w:szCs w:val="22"/>
          <w:lang w:val="ru-RU"/>
        </w:rPr>
      </w:pPr>
      <w:r w:rsidRPr="000B4A67">
        <w:rPr>
          <w:rFonts w:cs="Tahoma"/>
          <w:szCs w:val="22"/>
          <w:lang w:val="ru-RU"/>
        </w:rPr>
        <w:t>Значение поправки не должно включаться Исполнителем в величину физических объемов работ при учете в стоимости капитальных вложений непредвиденных затрат для стадий ОТР/ПД/РД.</w:t>
      </w:r>
    </w:p>
    <w:p w14:paraId="7BC2DB0F" w14:textId="1B9FC1C2" w:rsidR="00D324FB" w:rsidRPr="00F14DAF" w:rsidRDefault="00C37C6C" w:rsidP="00B12A21">
      <w:pPr>
        <w:autoSpaceDE w:val="0"/>
        <w:autoSpaceDN w:val="0"/>
        <w:spacing w:before="120" w:after="0" w:line="240" w:lineRule="auto"/>
        <w:ind w:firstLine="720"/>
        <w:jc w:val="both"/>
        <w:rPr>
          <w:rFonts w:ascii="Tahoma" w:hAnsi="Tahoma" w:cs="Tahoma"/>
        </w:rPr>
      </w:pPr>
      <w:r w:rsidRPr="000B4A67">
        <w:rPr>
          <w:rFonts w:ascii="Tahoma" w:hAnsi="Tahoma" w:cs="Tahoma"/>
        </w:rPr>
        <w:t>При превышении установленной Заказчиком или определенной проектировщиком поправки на точность оценки, проектировщик несет штрафные санкции за неудовлетворительное качество инжиниринга, в размере и на условиях, определенных договором.</w:t>
      </w:r>
    </w:p>
    <w:p w14:paraId="7D5AD564" w14:textId="77777777" w:rsidR="00E925C7" w:rsidRPr="00F14DAF" w:rsidRDefault="00E925C7" w:rsidP="00F5358F">
      <w:pPr>
        <w:tabs>
          <w:tab w:val="left" w:pos="426"/>
        </w:tabs>
        <w:ind w:firstLine="709"/>
        <w:jc w:val="both"/>
        <w:rPr>
          <w:rFonts w:ascii="Tahoma" w:hAnsi="Tahoma" w:cs="Tahoma"/>
        </w:rPr>
      </w:pPr>
    </w:p>
    <w:p w14:paraId="20B962C7" w14:textId="77777777" w:rsidR="00E925C7" w:rsidRPr="00F14DAF" w:rsidRDefault="00E925C7" w:rsidP="00F5358F">
      <w:pPr>
        <w:tabs>
          <w:tab w:val="left" w:pos="426"/>
        </w:tabs>
        <w:ind w:firstLine="709"/>
        <w:jc w:val="both"/>
        <w:rPr>
          <w:rFonts w:ascii="Tahoma" w:hAnsi="Tahoma" w:cs="Tahoma"/>
        </w:rPr>
      </w:pPr>
    </w:p>
    <w:sectPr w:rsidR="00E925C7" w:rsidRPr="00F14DAF">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774D7C" w14:textId="77777777" w:rsidR="00101322" w:rsidRDefault="00101322" w:rsidP="00245625">
      <w:pPr>
        <w:spacing w:after="0" w:line="240" w:lineRule="auto"/>
      </w:pPr>
      <w:r>
        <w:separator/>
      </w:r>
    </w:p>
  </w:endnote>
  <w:endnote w:type="continuationSeparator" w:id="0">
    <w:p w14:paraId="0F1D3598" w14:textId="77777777" w:rsidR="00101322" w:rsidRDefault="00101322" w:rsidP="00245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772971"/>
      <w:docPartObj>
        <w:docPartGallery w:val="Page Numbers (Bottom of Page)"/>
        <w:docPartUnique/>
      </w:docPartObj>
    </w:sdtPr>
    <w:sdtEndPr/>
    <w:sdtContent>
      <w:p w14:paraId="39E64FAB" w14:textId="5D10F494" w:rsidR="00245625" w:rsidRDefault="00245625">
        <w:pPr>
          <w:pStyle w:val="af"/>
          <w:jc w:val="center"/>
        </w:pPr>
        <w:r>
          <w:fldChar w:fldCharType="begin"/>
        </w:r>
        <w:r>
          <w:instrText>PAGE   \* MERGEFORMAT</w:instrText>
        </w:r>
        <w:r>
          <w:fldChar w:fldCharType="separate"/>
        </w:r>
        <w:r w:rsidR="00D574AB">
          <w:rPr>
            <w:noProof/>
          </w:rPr>
          <w:t>1</w:t>
        </w:r>
        <w:r>
          <w:fldChar w:fldCharType="end"/>
        </w:r>
      </w:p>
    </w:sdtContent>
  </w:sdt>
  <w:p w14:paraId="737A1473" w14:textId="77777777" w:rsidR="00245625" w:rsidRDefault="00245625">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E5542" w14:textId="77777777" w:rsidR="00101322" w:rsidRDefault="00101322" w:rsidP="00245625">
      <w:pPr>
        <w:spacing w:after="0" w:line="240" w:lineRule="auto"/>
      </w:pPr>
      <w:r>
        <w:separator/>
      </w:r>
    </w:p>
  </w:footnote>
  <w:footnote w:type="continuationSeparator" w:id="0">
    <w:p w14:paraId="04ABA9BB" w14:textId="77777777" w:rsidR="00101322" w:rsidRDefault="00101322" w:rsidP="002456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332FFF"/>
    <w:multiLevelType w:val="hybridMultilevel"/>
    <w:tmpl w:val="D95C4F16"/>
    <w:lvl w:ilvl="0" w:tplc="8A462E4C">
      <w:start w:val="1"/>
      <w:numFmt w:val="decimal"/>
      <w:lvlText w:val="%1."/>
      <w:lvlJc w:val="left"/>
      <w:pPr>
        <w:ind w:left="1780" w:hanging="360"/>
      </w:pPr>
      <w:rPr>
        <w:rFonts w:ascii="Tahoma" w:eastAsiaTheme="minorHAnsi" w:hAnsi="Tahoma" w:cs="Tahoma"/>
      </w:rPr>
    </w:lvl>
    <w:lvl w:ilvl="1" w:tplc="04090003" w:tentative="1">
      <w:start w:val="1"/>
      <w:numFmt w:val="bullet"/>
      <w:lvlText w:val="o"/>
      <w:lvlJc w:val="left"/>
      <w:pPr>
        <w:ind w:left="2500" w:hanging="360"/>
      </w:pPr>
      <w:rPr>
        <w:rFonts w:ascii="Courier New" w:hAnsi="Courier New" w:cs="Courier New" w:hint="default"/>
      </w:rPr>
    </w:lvl>
    <w:lvl w:ilvl="2" w:tplc="04090005" w:tentative="1">
      <w:start w:val="1"/>
      <w:numFmt w:val="bullet"/>
      <w:lvlText w:val=""/>
      <w:lvlJc w:val="left"/>
      <w:pPr>
        <w:ind w:left="3220" w:hanging="360"/>
      </w:pPr>
      <w:rPr>
        <w:rFonts w:ascii="Wingdings" w:hAnsi="Wingdings" w:hint="default"/>
      </w:rPr>
    </w:lvl>
    <w:lvl w:ilvl="3" w:tplc="04090001" w:tentative="1">
      <w:start w:val="1"/>
      <w:numFmt w:val="bullet"/>
      <w:lvlText w:val=""/>
      <w:lvlJc w:val="left"/>
      <w:pPr>
        <w:ind w:left="3940" w:hanging="360"/>
      </w:pPr>
      <w:rPr>
        <w:rFonts w:ascii="Symbol" w:hAnsi="Symbol" w:hint="default"/>
      </w:rPr>
    </w:lvl>
    <w:lvl w:ilvl="4" w:tplc="04090003" w:tentative="1">
      <w:start w:val="1"/>
      <w:numFmt w:val="bullet"/>
      <w:lvlText w:val="o"/>
      <w:lvlJc w:val="left"/>
      <w:pPr>
        <w:ind w:left="4660" w:hanging="360"/>
      </w:pPr>
      <w:rPr>
        <w:rFonts w:ascii="Courier New" w:hAnsi="Courier New" w:cs="Courier New" w:hint="default"/>
      </w:rPr>
    </w:lvl>
    <w:lvl w:ilvl="5" w:tplc="04090005" w:tentative="1">
      <w:start w:val="1"/>
      <w:numFmt w:val="bullet"/>
      <w:lvlText w:val=""/>
      <w:lvlJc w:val="left"/>
      <w:pPr>
        <w:ind w:left="5380" w:hanging="360"/>
      </w:pPr>
      <w:rPr>
        <w:rFonts w:ascii="Wingdings" w:hAnsi="Wingdings" w:hint="default"/>
      </w:rPr>
    </w:lvl>
    <w:lvl w:ilvl="6" w:tplc="04090001" w:tentative="1">
      <w:start w:val="1"/>
      <w:numFmt w:val="bullet"/>
      <w:lvlText w:val=""/>
      <w:lvlJc w:val="left"/>
      <w:pPr>
        <w:ind w:left="6100" w:hanging="360"/>
      </w:pPr>
      <w:rPr>
        <w:rFonts w:ascii="Symbol" w:hAnsi="Symbol" w:hint="default"/>
      </w:rPr>
    </w:lvl>
    <w:lvl w:ilvl="7" w:tplc="04090003" w:tentative="1">
      <w:start w:val="1"/>
      <w:numFmt w:val="bullet"/>
      <w:lvlText w:val="o"/>
      <w:lvlJc w:val="left"/>
      <w:pPr>
        <w:ind w:left="6820" w:hanging="360"/>
      </w:pPr>
      <w:rPr>
        <w:rFonts w:ascii="Courier New" w:hAnsi="Courier New" w:cs="Courier New" w:hint="default"/>
      </w:rPr>
    </w:lvl>
    <w:lvl w:ilvl="8" w:tplc="04090005" w:tentative="1">
      <w:start w:val="1"/>
      <w:numFmt w:val="bullet"/>
      <w:lvlText w:val=""/>
      <w:lvlJc w:val="left"/>
      <w:pPr>
        <w:ind w:left="7540" w:hanging="360"/>
      </w:pPr>
      <w:rPr>
        <w:rFonts w:ascii="Wingdings" w:hAnsi="Wingdings" w:hint="default"/>
      </w:rPr>
    </w:lvl>
  </w:abstractNum>
  <w:abstractNum w:abstractNumId="1" w15:restartNumberingAfterBreak="0">
    <w:nsid w:val="23302F16"/>
    <w:multiLevelType w:val="multilevel"/>
    <w:tmpl w:val="88AE0D6A"/>
    <w:lvl w:ilvl="0">
      <w:start w:val="1"/>
      <w:numFmt w:val="decimal"/>
      <w:lvlText w:val="%1."/>
      <w:lvlJc w:val="left"/>
      <w:pPr>
        <w:ind w:left="720" w:hanging="360"/>
      </w:pPr>
      <w:rPr>
        <w:rFonts w:hint="default"/>
        <w:b w:val="0"/>
      </w:rPr>
    </w:lvl>
    <w:lvl w:ilvl="1">
      <w:start w:val="1"/>
      <w:numFmt w:val="decimal"/>
      <w:isLgl/>
      <w:lvlText w:val="%1.%2."/>
      <w:lvlJc w:val="left"/>
      <w:pPr>
        <w:ind w:left="1429" w:hanging="720"/>
      </w:pPr>
      <w:rPr>
        <w:rFonts w:hint="default"/>
        <w:b w:val="0"/>
        <w:i w:val="0"/>
        <w:sz w:val="22"/>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487" w:hanging="1080"/>
      </w:pPr>
      <w:rPr>
        <w:rFonts w:hint="default"/>
        <w:b w:val="0"/>
      </w:rPr>
    </w:lvl>
    <w:lvl w:ilvl="4">
      <w:start w:val="1"/>
      <w:numFmt w:val="decimal"/>
      <w:isLgl/>
      <w:lvlText w:val="%1.%2.%3.%4.%5."/>
      <w:lvlJc w:val="left"/>
      <w:pPr>
        <w:ind w:left="3196" w:hanging="144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963" w:hanging="2160"/>
      </w:pPr>
      <w:rPr>
        <w:rFonts w:hint="default"/>
        <w:b/>
      </w:rPr>
    </w:lvl>
    <w:lvl w:ilvl="8">
      <w:start w:val="1"/>
      <w:numFmt w:val="decimal"/>
      <w:isLgl/>
      <w:lvlText w:val="%1.%2.%3.%4.%5.%6.%7.%8.%9."/>
      <w:lvlJc w:val="left"/>
      <w:pPr>
        <w:ind w:left="5312" w:hanging="2160"/>
      </w:pPr>
      <w:rPr>
        <w:rFonts w:hint="default"/>
        <w:b/>
      </w:rPr>
    </w:lvl>
  </w:abstractNum>
  <w:abstractNum w:abstractNumId="2" w15:restartNumberingAfterBreak="0">
    <w:nsid w:val="27424651"/>
    <w:multiLevelType w:val="hybridMultilevel"/>
    <w:tmpl w:val="C2E08088"/>
    <w:lvl w:ilvl="0" w:tplc="284E8B60">
      <w:start w:val="1"/>
      <w:numFmt w:val="decimal"/>
      <w:lvlText w:val="%1"/>
      <w:lvlJc w:val="left"/>
      <w:pPr>
        <w:ind w:left="1400" w:hanging="360"/>
      </w:pPr>
      <w:rPr>
        <w:rFonts w:hint="default"/>
      </w:r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3" w15:restartNumberingAfterBreak="0">
    <w:nsid w:val="2D2657B6"/>
    <w:multiLevelType w:val="singleLevel"/>
    <w:tmpl w:val="BDAE3BF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 w15:restartNumberingAfterBreak="0">
    <w:nsid w:val="2EA64ABA"/>
    <w:multiLevelType w:val="hybridMultilevel"/>
    <w:tmpl w:val="65C8279A"/>
    <w:lvl w:ilvl="0" w:tplc="0409000F">
      <w:start w:val="1"/>
      <w:numFmt w:val="decimal"/>
      <w:lvlText w:val="%1."/>
      <w:lvlJc w:val="left"/>
      <w:pPr>
        <w:ind w:left="1070" w:hanging="360"/>
      </w:pPr>
      <w:rPr>
        <w:rFonts w:hint="default"/>
      </w:r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5" w15:restartNumberingAfterBreak="0">
    <w:nsid w:val="32005BB8"/>
    <w:multiLevelType w:val="hybridMultilevel"/>
    <w:tmpl w:val="E7A2E016"/>
    <w:lvl w:ilvl="0" w:tplc="40E4C14C">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B3864BC"/>
    <w:multiLevelType w:val="hybridMultilevel"/>
    <w:tmpl w:val="9B86F5E2"/>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2E5043"/>
    <w:multiLevelType w:val="hybridMultilevel"/>
    <w:tmpl w:val="D1F68470"/>
    <w:lvl w:ilvl="0" w:tplc="54E678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A60802"/>
    <w:multiLevelType w:val="hybridMultilevel"/>
    <w:tmpl w:val="0FE411EC"/>
    <w:lvl w:ilvl="0" w:tplc="40E4C1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6"/>
  </w:num>
  <w:num w:numId="5">
    <w:abstractNumId w:val="4"/>
  </w:num>
  <w:num w:numId="6">
    <w:abstractNumId w:val="2"/>
  </w:num>
  <w:num w:numId="7">
    <w:abstractNumId w:val="7"/>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4FB"/>
    <w:rsid w:val="00013D6A"/>
    <w:rsid w:val="00014C8B"/>
    <w:rsid w:val="00021DAE"/>
    <w:rsid w:val="00043F0C"/>
    <w:rsid w:val="0004410D"/>
    <w:rsid w:val="00073E88"/>
    <w:rsid w:val="000B4A67"/>
    <w:rsid w:val="000C3A99"/>
    <w:rsid w:val="000D5197"/>
    <w:rsid w:val="000E1A1C"/>
    <w:rsid w:val="000F07C4"/>
    <w:rsid w:val="000F0A5A"/>
    <w:rsid w:val="00101322"/>
    <w:rsid w:val="00104ABA"/>
    <w:rsid w:val="00104AE9"/>
    <w:rsid w:val="00104EF3"/>
    <w:rsid w:val="00114693"/>
    <w:rsid w:val="001D11AC"/>
    <w:rsid w:val="001E3666"/>
    <w:rsid w:val="00210AFE"/>
    <w:rsid w:val="00222CF6"/>
    <w:rsid w:val="00245625"/>
    <w:rsid w:val="00257A57"/>
    <w:rsid w:val="00265891"/>
    <w:rsid w:val="00293588"/>
    <w:rsid w:val="002939D0"/>
    <w:rsid w:val="002E3639"/>
    <w:rsid w:val="002F2BCA"/>
    <w:rsid w:val="003109EF"/>
    <w:rsid w:val="0031301D"/>
    <w:rsid w:val="00383302"/>
    <w:rsid w:val="00397EA6"/>
    <w:rsid w:val="003E70F3"/>
    <w:rsid w:val="00402DFE"/>
    <w:rsid w:val="004225E4"/>
    <w:rsid w:val="004468CA"/>
    <w:rsid w:val="00474D74"/>
    <w:rsid w:val="00494BE4"/>
    <w:rsid w:val="004A7E16"/>
    <w:rsid w:val="004C4009"/>
    <w:rsid w:val="004F30C2"/>
    <w:rsid w:val="004F5AE7"/>
    <w:rsid w:val="005449BE"/>
    <w:rsid w:val="00556BE6"/>
    <w:rsid w:val="0056207D"/>
    <w:rsid w:val="00580E98"/>
    <w:rsid w:val="005823E2"/>
    <w:rsid w:val="00587869"/>
    <w:rsid w:val="005C212D"/>
    <w:rsid w:val="005D32D6"/>
    <w:rsid w:val="005D5E2D"/>
    <w:rsid w:val="005D7BEE"/>
    <w:rsid w:val="005E12EE"/>
    <w:rsid w:val="005F2DFC"/>
    <w:rsid w:val="00650BF8"/>
    <w:rsid w:val="006512A5"/>
    <w:rsid w:val="00657E95"/>
    <w:rsid w:val="006610A2"/>
    <w:rsid w:val="006762D3"/>
    <w:rsid w:val="006A13AE"/>
    <w:rsid w:val="006C2276"/>
    <w:rsid w:val="006C3789"/>
    <w:rsid w:val="006E7248"/>
    <w:rsid w:val="006F1515"/>
    <w:rsid w:val="00715AEE"/>
    <w:rsid w:val="007257FB"/>
    <w:rsid w:val="0072632F"/>
    <w:rsid w:val="00741F7B"/>
    <w:rsid w:val="00742EB8"/>
    <w:rsid w:val="007763CD"/>
    <w:rsid w:val="00786D60"/>
    <w:rsid w:val="00786F07"/>
    <w:rsid w:val="007A0E02"/>
    <w:rsid w:val="007B5ACB"/>
    <w:rsid w:val="007C77A6"/>
    <w:rsid w:val="007D01BD"/>
    <w:rsid w:val="007F1513"/>
    <w:rsid w:val="00827C1A"/>
    <w:rsid w:val="008301B7"/>
    <w:rsid w:val="00871095"/>
    <w:rsid w:val="00875A9D"/>
    <w:rsid w:val="008A0932"/>
    <w:rsid w:val="008A3F94"/>
    <w:rsid w:val="008B0A37"/>
    <w:rsid w:val="008C164F"/>
    <w:rsid w:val="008C6C10"/>
    <w:rsid w:val="008D0786"/>
    <w:rsid w:val="008D13CE"/>
    <w:rsid w:val="008D2F6E"/>
    <w:rsid w:val="008D7830"/>
    <w:rsid w:val="0093104D"/>
    <w:rsid w:val="00935B7B"/>
    <w:rsid w:val="00950363"/>
    <w:rsid w:val="00967D35"/>
    <w:rsid w:val="00994EA0"/>
    <w:rsid w:val="009B2318"/>
    <w:rsid w:val="009C21F7"/>
    <w:rsid w:val="009C50FC"/>
    <w:rsid w:val="009C6B66"/>
    <w:rsid w:val="009C7F23"/>
    <w:rsid w:val="009E17AF"/>
    <w:rsid w:val="009E6333"/>
    <w:rsid w:val="009F2720"/>
    <w:rsid w:val="00A15569"/>
    <w:rsid w:val="00A47700"/>
    <w:rsid w:val="00A519A3"/>
    <w:rsid w:val="00A51DD7"/>
    <w:rsid w:val="00A570A1"/>
    <w:rsid w:val="00A84537"/>
    <w:rsid w:val="00AB68EB"/>
    <w:rsid w:val="00AC532E"/>
    <w:rsid w:val="00AD22D8"/>
    <w:rsid w:val="00AE19AA"/>
    <w:rsid w:val="00AE50A8"/>
    <w:rsid w:val="00AF779D"/>
    <w:rsid w:val="00B039CA"/>
    <w:rsid w:val="00B12A21"/>
    <w:rsid w:val="00B400A9"/>
    <w:rsid w:val="00B44804"/>
    <w:rsid w:val="00B44F07"/>
    <w:rsid w:val="00B45271"/>
    <w:rsid w:val="00B54CD3"/>
    <w:rsid w:val="00B675E3"/>
    <w:rsid w:val="00B764B8"/>
    <w:rsid w:val="00B83AD8"/>
    <w:rsid w:val="00BB02D4"/>
    <w:rsid w:val="00BB6086"/>
    <w:rsid w:val="00BD7E18"/>
    <w:rsid w:val="00BF7BA5"/>
    <w:rsid w:val="00C079FD"/>
    <w:rsid w:val="00C27FA3"/>
    <w:rsid w:val="00C37C6C"/>
    <w:rsid w:val="00C81FB3"/>
    <w:rsid w:val="00C85394"/>
    <w:rsid w:val="00C8641F"/>
    <w:rsid w:val="00CD3BCC"/>
    <w:rsid w:val="00CE5262"/>
    <w:rsid w:val="00D0243B"/>
    <w:rsid w:val="00D14B38"/>
    <w:rsid w:val="00D2614F"/>
    <w:rsid w:val="00D276B0"/>
    <w:rsid w:val="00D324FB"/>
    <w:rsid w:val="00D46A5B"/>
    <w:rsid w:val="00D574AB"/>
    <w:rsid w:val="00D611A8"/>
    <w:rsid w:val="00D86A25"/>
    <w:rsid w:val="00D90332"/>
    <w:rsid w:val="00D909A0"/>
    <w:rsid w:val="00DB6AA5"/>
    <w:rsid w:val="00DD14B2"/>
    <w:rsid w:val="00DD243B"/>
    <w:rsid w:val="00E149DB"/>
    <w:rsid w:val="00E32879"/>
    <w:rsid w:val="00E41303"/>
    <w:rsid w:val="00E50C65"/>
    <w:rsid w:val="00E72903"/>
    <w:rsid w:val="00E779B4"/>
    <w:rsid w:val="00E925C7"/>
    <w:rsid w:val="00E9320A"/>
    <w:rsid w:val="00EB5B7A"/>
    <w:rsid w:val="00ED0C44"/>
    <w:rsid w:val="00EE7D0B"/>
    <w:rsid w:val="00F117E4"/>
    <w:rsid w:val="00F14DAF"/>
    <w:rsid w:val="00F33B0C"/>
    <w:rsid w:val="00F33BDC"/>
    <w:rsid w:val="00F34711"/>
    <w:rsid w:val="00F43599"/>
    <w:rsid w:val="00F5358F"/>
    <w:rsid w:val="00F57A0A"/>
    <w:rsid w:val="00F77162"/>
    <w:rsid w:val="00F90738"/>
    <w:rsid w:val="00FD712D"/>
    <w:rsid w:val="00FE1584"/>
    <w:rsid w:val="00FF28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A2002"/>
  <w15:chartTrackingRefBased/>
  <w15:docId w15:val="{ED000E41-DE81-4BC5-A04B-79ED23E0F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Текстовая,нумерация,Заголовок_3,Bullet_IRAO,Мой Список,AC List 01,Подпись рисунка,Table-Normal,RSHB_Table-Normal,List Paragraph1"/>
    <w:basedOn w:val="a"/>
    <w:link w:val="a4"/>
    <w:uiPriority w:val="34"/>
    <w:qFormat/>
    <w:rsid w:val="00E925C7"/>
    <w:pPr>
      <w:spacing w:after="120" w:line="240" w:lineRule="auto"/>
      <w:ind w:left="720" w:firstLine="709"/>
      <w:contextualSpacing/>
      <w:jc w:val="both"/>
    </w:pPr>
    <w:rPr>
      <w:rFonts w:ascii="Tahoma" w:eastAsia="Times New Roman" w:hAnsi="Tahoma" w:cs="Times New Roman"/>
      <w:szCs w:val="24"/>
      <w:lang w:val="de-DE" w:eastAsia="de-DE"/>
    </w:rPr>
  </w:style>
  <w:style w:type="character" w:customStyle="1" w:styleId="a4">
    <w:name w:val="Абзац списка Знак"/>
    <w:aliases w:val="Абзац Знак,Текстовая Знак,нумерация Знак,Заголовок_3 Знак,Bullet_IRAO Знак,Мой Список Знак,AC List 01 Знак,Подпись рисунка Знак,Table-Normal Знак,RSHB_Table-Normal Знак,List Paragraph1 Знак"/>
    <w:link w:val="a3"/>
    <w:uiPriority w:val="34"/>
    <w:locked/>
    <w:rsid w:val="00E925C7"/>
    <w:rPr>
      <w:rFonts w:ascii="Tahoma" w:eastAsia="Times New Roman" w:hAnsi="Tahoma" w:cs="Times New Roman"/>
      <w:szCs w:val="24"/>
      <w:lang w:val="de-DE" w:eastAsia="de-DE"/>
    </w:rPr>
  </w:style>
  <w:style w:type="table" w:styleId="a5">
    <w:name w:val="Table Grid"/>
    <w:basedOn w:val="a1"/>
    <w:uiPriority w:val="39"/>
    <w:rsid w:val="00C37C6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7F151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F1513"/>
    <w:rPr>
      <w:rFonts w:ascii="Segoe UI" w:hAnsi="Segoe UI" w:cs="Segoe UI"/>
      <w:sz w:val="18"/>
      <w:szCs w:val="18"/>
    </w:rPr>
  </w:style>
  <w:style w:type="character" w:styleId="a8">
    <w:name w:val="annotation reference"/>
    <w:basedOn w:val="a0"/>
    <w:uiPriority w:val="99"/>
    <w:semiHidden/>
    <w:unhideWhenUsed/>
    <w:rsid w:val="00650BF8"/>
    <w:rPr>
      <w:sz w:val="16"/>
      <w:szCs w:val="16"/>
    </w:rPr>
  </w:style>
  <w:style w:type="paragraph" w:styleId="a9">
    <w:name w:val="annotation text"/>
    <w:basedOn w:val="a"/>
    <w:link w:val="aa"/>
    <w:uiPriority w:val="99"/>
    <w:unhideWhenUsed/>
    <w:rsid w:val="00650BF8"/>
    <w:pPr>
      <w:spacing w:line="240" w:lineRule="auto"/>
    </w:pPr>
    <w:rPr>
      <w:sz w:val="20"/>
      <w:szCs w:val="20"/>
    </w:rPr>
  </w:style>
  <w:style w:type="character" w:customStyle="1" w:styleId="aa">
    <w:name w:val="Текст примечания Знак"/>
    <w:basedOn w:val="a0"/>
    <w:link w:val="a9"/>
    <w:uiPriority w:val="99"/>
    <w:rsid w:val="00650BF8"/>
    <w:rPr>
      <w:sz w:val="20"/>
      <w:szCs w:val="20"/>
    </w:rPr>
  </w:style>
  <w:style w:type="paragraph" w:styleId="ab">
    <w:name w:val="annotation subject"/>
    <w:basedOn w:val="a9"/>
    <w:next w:val="a9"/>
    <w:link w:val="ac"/>
    <w:uiPriority w:val="99"/>
    <w:semiHidden/>
    <w:unhideWhenUsed/>
    <w:rsid w:val="00650BF8"/>
    <w:rPr>
      <w:b/>
      <w:bCs/>
    </w:rPr>
  </w:style>
  <w:style w:type="character" w:customStyle="1" w:styleId="ac">
    <w:name w:val="Тема примечания Знак"/>
    <w:basedOn w:val="aa"/>
    <w:link w:val="ab"/>
    <w:uiPriority w:val="99"/>
    <w:semiHidden/>
    <w:rsid w:val="00650BF8"/>
    <w:rPr>
      <w:b/>
      <w:bCs/>
      <w:sz w:val="20"/>
      <w:szCs w:val="20"/>
    </w:rPr>
  </w:style>
  <w:style w:type="paragraph" w:styleId="ad">
    <w:name w:val="header"/>
    <w:basedOn w:val="a"/>
    <w:link w:val="ae"/>
    <w:uiPriority w:val="99"/>
    <w:unhideWhenUsed/>
    <w:rsid w:val="0024562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45625"/>
  </w:style>
  <w:style w:type="paragraph" w:styleId="af">
    <w:name w:val="footer"/>
    <w:basedOn w:val="a"/>
    <w:link w:val="af0"/>
    <w:uiPriority w:val="99"/>
    <w:unhideWhenUsed/>
    <w:rsid w:val="0024562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45625"/>
  </w:style>
  <w:style w:type="paragraph" w:styleId="af1">
    <w:name w:val="Revision"/>
    <w:hidden/>
    <w:uiPriority w:val="99"/>
    <w:semiHidden/>
    <w:rsid w:val="00D574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8344F-2260-48FA-8296-0510AEEE2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2633</Words>
  <Characters>15013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Бокачев Роман Алексеевич</dc:creator>
  <cp:keywords/>
  <dc:description/>
  <cp:lastModifiedBy>Чабан Оксана Михайловна</cp:lastModifiedBy>
  <cp:revision>3</cp:revision>
  <dcterms:created xsi:type="dcterms:W3CDTF">2022-05-20T14:02:00Z</dcterms:created>
  <dcterms:modified xsi:type="dcterms:W3CDTF">2022-05-23T07:15:00Z</dcterms:modified>
</cp:coreProperties>
</file>